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caps/>
          <w:color w:val="AAAAAA"/>
          <w:sz w:val="17"/>
          <w:szCs w:val="17"/>
        </w:rPr>
        <w:t xml:space="preserve">THOUGHT LEADERSHIP  //  OPERATORS</w:t>
      </w:r>
    </w:p>
    <w:p>
      <w:pPr>
        <w:spacing w:before="40" w:after="40"/>
      </w:pPr>
      <w:r>
        <w:rPr>
          <w:rFonts w:ascii="Arial" w:cs="Arial" w:eastAsia="Arial" w:hAnsi="Arial"/>
          <w:b/>
          <w:bCs/>
          <w:color w:val="E8500A"/>
          <w:sz w:val="52"/>
          <w:szCs w:val="52"/>
        </w:rPr>
        <w:t xml:space="preserve">Denial Is the New Poverty:</w:t>
      </w:r>
    </w:p>
    <w:p>
      <w:pPr>
        <w:spacing w:before="0" w:after="80"/>
      </w:pPr>
      <w:r>
        <w:rPr>
          <w:rFonts w:ascii="Arial" w:cs="Arial" w:eastAsia="Arial" w:hAnsi="Arial"/>
          <w:b/>
          <w:bCs/>
          <w:color w:val="1A1A1A"/>
          <w:sz w:val="34"/>
          <w:szCs w:val="34"/>
        </w:rPr>
        <w:t xml:space="preserve">How O&amp;G Operators Are Missing the On-Lease Moment</w:t>
      </w:r>
    </w:p>
    <w:p>
      <w:pPr>
        <w:spacing w:before="40" w:after="0"/>
      </w:pPr>
      <w:r>
        <w:t xml:space="preserve"/>
      </w:r>
    </w:p>
    <w:p>
      <w:pPr>
        <w:pBdr>
          <w:bottom w:val="single" w:color="E0E0E0" w:sz="2" w:space="8"/>
        </w:pBdr>
        <w:spacing w:before="0" w:after="0"/>
      </w:pPr>
      <w:r>
        <w:rPr>
          <w:rFonts w:ascii="Arial" w:cs="Arial" w:eastAsia="Arial" w:hAnsi="Arial"/>
          <w:b/>
          <w:bCs/>
          <w:color w:val="E8500A"/>
          <w:sz w:val="19"/>
          <w:szCs w:val="19"/>
        </w:rPr>
        <w:t xml:space="preserve">By MCF.digital Operations Team</w:t>
      </w:r>
      <w:r>
        <w:rPr>
          <w:rFonts w:ascii="Arial" w:cs="Arial" w:eastAsia="Arial" w:hAnsi="Arial"/>
          <w:color w:val="AAAAAA"/>
          <w:sz w:val="19"/>
          <w:szCs w:val="19"/>
        </w:rPr>
        <w:t xml:space="preserve">   ·   mcf.digital/articles/denial-is-the-new-poverty</w:t>
      </w:r>
    </w:p>
    <w:p>
      <w:pPr>
        <w:spacing w:before="200" w:after="0"/>
      </w:pPr>
      <w:r>
        <w:t xml:space="preserve"/>
      </w:r>
    </w:p>
    <w:p>
      <w:pPr>
        <w:spacing w:before="0" w:after="240"/>
      </w:pPr>
      <w:r>
        <w:rPr>
          <w:rFonts w:ascii="Arial" w:cs="Arial" w:eastAsia="Arial" w:hAnsi="Arial"/>
          <w:i/>
          <w:iCs/>
          <w:color w:val="4A4A4A"/>
          <w:sz w:val="25"/>
          <w:szCs w:val="25"/>
        </w:rPr>
        <w:t xml:space="preserve">Every week, somewhere in a basin meeting or an operator conference, someone says it: “We don’t do crypto stuff.” The conversation moves on. The flare stack keeps burning. And somewhere else in the same basin, a competitor just collected another month of revenue from gas that used to go up in smoke.</w:t>
      </w:r>
    </w:p>
    <w:p>
      <w:pPr>
        <w:spacing w:before="100" w:after="180"/>
      </w:pPr>
      <w:r>
        <w:rPr>
          <w:rFonts w:ascii="Arial" w:cs="Arial" w:eastAsia="Arial" w:hAnsi="Arial"/>
          <w:color w:val="4A4A4A"/>
          <w:sz w:val="22"/>
          <w:szCs w:val="22"/>
        </w:rPr>
        <w:t xml:space="preserve">The window for dismissal is closing. Not because Bitcoin is having a moment—Bitcoin has moments all the time, and they’re not the point. The window is closing because the regulatory, economic, and operational conditions that make on-lease gas monetization the obvious choice for stranded and flared gas volumes are converging faster than the operators who are ignoring it will be able to catch up.</w:t>
      </w:r>
    </w:p>
    <w:p>
      <w:pPr>
        <w:spacing w:before="10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DDDDDD" w:sz="1"/>
              <w:left w:val="single" w:color="DDDDDD" w:sz="1"/>
              <w:bottom w:val="single" w:color="DDDDDD" w:sz="1"/>
              <w:right w:val="single" w:color="DDDDDD" w:sz="1"/>
            </w:tcBorders>
            <w:shd w:fill="1A1A1A" w:val="clear"/>
            <w:tcMar>
              <w:top w:type="dxa" w:w="180"/>
              <w:left w:type="dxa" w:w="200"/>
              <w:bottom w:type="dxa" w:w="180"/>
              <w:right w:type="dxa" w:w="200"/>
            </w:tcMar>
          </w:tcPr>
          <w:p>
            <w:pPr>
              <w:spacing w:before="0" w:after="40"/>
              <w:jc w:val="center"/>
            </w:pPr>
            <w:r>
              <w:rPr>
                <w:rFonts w:ascii="Arial" w:cs="Arial" w:eastAsia="Arial" w:hAnsi="Arial"/>
                <w:b/>
                <w:bCs/>
                <w:color w:val="E8500A"/>
                <w:sz w:val="52"/>
                <w:szCs w:val="52"/>
              </w:rPr>
              <w:t xml:space="preserve">$30B+</w:t>
            </w:r>
          </w:p>
          <w:p>
            <w:pPr>
              <w:spacing w:before="0" w:after="0"/>
              <w:jc w:val="center"/>
            </w:pPr>
            <w:r>
              <w:rPr>
                <w:rFonts w:ascii="Arial" w:cs="Arial" w:eastAsia="Arial" w:hAnsi="Arial"/>
                <w:color w:val="AAAAAA"/>
                <w:sz w:val="18"/>
                <w:szCs w:val="18"/>
              </w:rPr>
              <w:t xml:space="preserve">estimated annual energy value wasted through global flaring (World Bank)</w:t>
            </w:r>
          </w:p>
        </w:tc>
        <w:tc>
          <w:tcPr>
            <w:tcW w:type="dxa" w:w="2880"/>
            <w:tcBorders>
              <w:top w:val="single" w:color="DDDDDD" w:sz="1"/>
              <w:left w:val="single" w:color="DDDDDD" w:sz="1"/>
              <w:bottom w:val="single" w:color="DDDDDD" w:sz="1"/>
              <w:right w:val="single" w:color="DDDDDD" w:sz="1"/>
            </w:tcBorders>
            <w:shd w:fill="1A1A1A" w:val="clear"/>
            <w:tcMar>
              <w:top w:type="dxa" w:w="180"/>
              <w:left w:type="dxa" w:w="200"/>
              <w:bottom w:type="dxa" w:w="180"/>
              <w:right w:type="dxa" w:w="200"/>
            </w:tcMar>
          </w:tcPr>
          <w:p>
            <w:pPr>
              <w:spacing w:before="0" w:after="40"/>
              <w:jc w:val="center"/>
            </w:pPr>
            <w:r>
              <w:rPr>
                <w:rFonts w:ascii="Arial" w:cs="Arial" w:eastAsia="Arial" w:hAnsi="Arial"/>
                <w:b/>
                <w:bCs/>
                <w:color w:val="E8500A"/>
                <w:sz w:val="52"/>
                <w:szCs w:val="52"/>
              </w:rPr>
              <w:t xml:space="preserve">140B scf</w:t>
            </w:r>
          </w:p>
          <w:p>
            <w:pPr>
              <w:spacing w:before="0" w:after="0"/>
              <w:jc w:val="center"/>
            </w:pPr>
            <w:r>
              <w:rPr>
                <w:rFonts w:ascii="Arial" w:cs="Arial" w:eastAsia="Arial" w:hAnsi="Arial"/>
                <w:color w:val="AAAAAA"/>
                <w:sz w:val="18"/>
                <w:szCs w:val="18"/>
              </w:rPr>
              <w:t xml:space="preserve">gas flared in the US in 2023 — enough to power 2M+ homes for a year</w:t>
            </w:r>
          </w:p>
        </w:tc>
        <w:tc>
          <w:tcPr>
            <w:tcW w:type="dxa" w:w="2880"/>
            <w:tcBorders>
              <w:top w:val="single" w:color="DDDDDD" w:sz="1"/>
              <w:left w:val="single" w:color="DDDDDD" w:sz="1"/>
              <w:bottom w:val="single" w:color="DDDDDD" w:sz="1"/>
              <w:right w:val="single" w:color="DDDDDD" w:sz="1"/>
            </w:tcBorders>
            <w:shd w:fill="1A1A1A" w:val="clear"/>
            <w:tcMar>
              <w:top w:type="dxa" w:w="180"/>
              <w:left w:type="dxa" w:w="200"/>
              <w:bottom w:type="dxa" w:w="180"/>
              <w:right w:type="dxa" w:w="200"/>
            </w:tcMar>
          </w:tcPr>
          <w:p>
            <w:pPr>
              <w:spacing w:before="0" w:after="40"/>
              <w:jc w:val="center"/>
            </w:pPr>
            <w:r>
              <w:rPr>
                <w:rFonts w:ascii="Arial" w:cs="Arial" w:eastAsia="Arial" w:hAnsi="Arial"/>
                <w:b/>
                <w:bCs/>
                <w:color w:val="E8500A"/>
                <w:sz w:val="52"/>
                <w:szCs w:val="52"/>
              </w:rPr>
              <w:t xml:space="preserve">~5 weeks</w:t>
            </w:r>
          </w:p>
          <w:p>
            <w:pPr>
              <w:spacing w:before="0" w:after="0"/>
              <w:jc w:val="center"/>
            </w:pPr>
            <w:r>
              <w:rPr>
                <w:rFonts w:ascii="Arial" w:cs="Arial" w:eastAsia="Arial" w:hAnsi="Arial"/>
                <w:color w:val="AAAAAA"/>
                <w:sz w:val="18"/>
                <w:szCs w:val="18"/>
              </w:rPr>
              <w:t xml:space="preserve">typical MCF.digital deployment timeline from signed agreement to first revenue</w:t>
            </w:r>
          </w:p>
        </w:tc>
      </w:tr>
    </w:tbl>
    <w:p>
      <w:pPr>
        <w:spacing w:before="180" w:after="80"/>
      </w:pPr>
      <w:r>
        <w:t xml:space="preserve"/>
      </w:r>
    </w:p>
    <w:p>
      <w:pPr>
        <w:pBdr>
          <w:bottom w:val="single" w:color="E8500A" w:sz="4" w:space="4"/>
        </w:pBdr>
        <w:spacing w:before="360" w:after="100"/>
      </w:pPr>
      <w:r>
        <w:rPr>
          <w:rFonts w:ascii="Arial" w:cs="Arial" w:eastAsia="Arial" w:hAnsi="Arial"/>
          <w:b/>
          <w:bCs/>
          <w:color w:val="1A1A1A"/>
          <w:sz w:val="26"/>
          <w:szCs w:val="26"/>
        </w:rPr>
        <w:t xml:space="preserve">The Math Doesn’t Care What You Think About Bitcoin</w:t>
      </w:r>
    </w:p>
    <w:p>
      <w:pPr>
        <w:spacing w:before="100" w:after="180"/>
      </w:pPr>
      <w:r>
        <w:rPr>
          <w:rFonts w:ascii="Arial" w:cs="Arial" w:eastAsia="Arial" w:hAnsi="Arial"/>
          <w:color w:val="4A4A4A"/>
          <w:sz w:val="22"/>
          <w:szCs w:val="22"/>
        </w:rPr>
        <w:t xml:space="preserve">The “we don’t do crypto stuff” objection has a category error at its center. Operators who deploy with MCF.digital are not doing crypto. They are selling gas. The gas has a buyer. The buyer pays reliably, does not require a pipeline, does not impose gathering fees, and does not have minimum volume commitments. That buyer happens to convert the gas into Bitcoin—but the operator’s relationship is with the gas sale, not with the Bitcoin market.</w:t>
      </w:r>
    </w:p>
    <w:p>
      <w:pPr>
        <w:spacing w:before="100" w:after="180"/>
      </w:pPr>
      <w:r>
        <w:rPr>
          <w:rFonts w:ascii="Arial" w:cs="Arial" w:eastAsia="Arial" w:hAnsi="Arial"/>
          <w:color w:val="4A4A4A"/>
          <w:sz w:val="22"/>
          <w:szCs w:val="22"/>
        </w:rPr>
        <w:t xml:space="preserve">A flare site operator in a hosting structure earns a fixed power rate per kilowatt-hour, denominated in USD, regardless of what Bitcoin does. If Bitcoin drops 70%, the operator’s check does not change. What changes is the miner’s margin—which is the miner’s problem to manage. The operator has converted stranded, zero-value gas into a predictable monthly revenue stream. The crypto volatility is not their exposure.</w:t>
      </w:r>
    </w:p>
    <w:p>
      <w:pPr>
        <w:spacing w:before="100" w:after="180"/>
      </w:pPr>
      <w:r>
        <w:rPr>
          <w:rFonts w:ascii="Arial" w:cs="Arial" w:eastAsia="Arial" w:hAnsi="Arial"/>
          <w:color w:val="4A4A4A"/>
          <w:sz w:val="22"/>
          <w:szCs w:val="22"/>
        </w:rPr>
        <w:t xml:space="preserve">That is the transaction. It has nothing to do with believing in Bitcoin, holding Bitcoin, or having an opinion about blockchain technology. Operators who are refusing on-lease deployments because they “don’t do crypto” are turning down a gas buyer because they don’t approve of what the buyer does with the gas after they buy it.</w:t>
      </w:r>
    </w:p>
    <w:p>
      <w:pPr>
        <w:spacing w:before="12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FFF6F2" w:val="clear"/>
            <w:tcMar>
              <w:top w:type="dxa" w:w="240"/>
              <w:left w:type="dxa" w:w="320"/>
              <w:bottom w:type="dxa" w:w="240"/>
              <w:right w:type="dxa" w:w="320"/>
            </w:tcMar>
          </w:tcPr>
          <w:p>
            <w:pPr>
              <w:jc w:val="center"/>
            </w:pPr>
            <w:r>
              <w:rPr>
                <w:rFonts w:ascii="Arial" w:cs="Arial" w:eastAsia="Arial" w:hAnsi="Arial"/>
                <w:b/>
                <w:bCs/>
                <w:i/>
                <w:iCs/>
                <w:color w:val="1A1A1A"/>
                <w:sz w:val="28"/>
                <w:szCs w:val="28"/>
              </w:rPr>
              <w:t xml:space="preserve">“Your competitors aren’t waiting for Bitcoin to prove itself. They’re cashing checks.”</w:t>
            </w:r>
          </w:p>
        </w:tc>
      </w:tr>
    </w:tbl>
    <w:p>
      <w:pPr>
        <w:spacing w:before="180" w:after="80"/>
      </w:pPr>
      <w:r>
        <w:t xml:space="preserve"/>
      </w:r>
    </w:p>
    <w:p>
      <w:pPr>
        <w:pBdr>
          <w:bottom w:val="single" w:color="E8500A" w:sz="4" w:space="4"/>
        </w:pBdr>
        <w:spacing w:before="360" w:after="100"/>
      </w:pPr>
      <w:r>
        <w:rPr>
          <w:rFonts w:ascii="Arial" w:cs="Arial" w:eastAsia="Arial" w:hAnsi="Arial"/>
          <w:b/>
          <w:bCs/>
          <w:color w:val="1A1A1A"/>
          <w:sz w:val="26"/>
          <w:szCs w:val="26"/>
        </w:rPr>
        <w:t xml:space="preserve">The Regulatory Clock Is Running</w:t>
      </w:r>
    </w:p>
    <w:p>
      <w:pPr>
        <w:spacing w:before="100" w:after="180"/>
      </w:pPr>
      <w:r>
        <w:rPr>
          <w:rFonts w:ascii="Arial" w:cs="Arial" w:eastAsia="Arial" w:hAnsi="Arial"/>
          <w:color w:val="4A4A4A"/>
          <w:sz w:val="22"/>
          <w:szCs w:val="22"/>
        </w:rPr>
        <w:t xml:space="preserve">The “we’ll deal with flaring when we have to” posture has a shorter shelf life than it did two years ago. EPA methane rules are tightening. The World Bank’s Zero Routine Flaring by 2030 initiative has institutional investor support behind it. North Dakota, Colorado, New Mexico, and Wyoming have all moved toward stricter flaring limits in the last legislative cycle. Texas is the last major holdout on aggressive enforcement, and that environment is not permanent.</w:t>
      </w:r>
    </w:p>
    <w:p>
      <w:pPr>
        <w:spacing w:before="100" w:after="180"/>
      </w:pPr>
      <w:r>
        <w:rPr>
          <w:rFonts w:ascii="Arial" w:cs="Arial" w:eastAsia="Arial" w:hAnsi="Arial"/>
          <w:color w:val="4A4A4A"/>
          <w:sz w:val="22"/>
          <w:szCs w:val="22"/>
        </w:rPr>
        <w:t xml:space="preserve">Operators who deploy now are solving the compliance problem as a byproduct of a revenue decision. Operators who wait are accumulating regulatory exposure while the deployment queue at qualified operators fills with their neighbors’ pads. The compliance deadline doesn’t move because you weren’t paying attention.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E8500A" w:sz="10"/>
              <w:bottom w:val="none" w:color="FFFFFF" w:sz="0"/>
              <w:right w:val="none" w:color="FFFFFF" w:sz="0"/>
            </w:tcBorders>
            <w:shd w:fill="F7F7F7" w:val="clear"/>
            <w:tcMar>
              <w:top w:type="dxa" w:w="140"/>
              <w:left w:type="dxa" w:w="200"/>
              <w:bottom w:type="dxa" w:w="140"/>
              <w:right w:type="dxa" w:w="200"/>
            </w:tcMar>
          </w:tcPr>
          <w:p>
            <w:pPr>
              <w:spacing w:before="0" w:after="60"/>
            </w:pPr>
            <w:r>
              <w:rPr>
                <w:rFonts w:ascii="Arial" w:cs="Arial" w:eastAsia="Arial" w:hAnsi="Arial"/>
                <w:b/>
                <w:bCs/>
                <w:color w:val="E8500A"/>
                <w:sz w:val="21"/>
                <w:szCs w:val="21"/>
              </w:rPr>
              <w:t xml:space="preserve">WHAT COMPLIANCE RELIEF ACTUALLY LOOKS LIKE</w:t>
            </w:r>
          </w:p>
          <w:p>
            <w:pPr>
              <w:spacing w:before="0" w:after="0"/>
            </w:pPr>
            <w:r>
              <w:rPr>
                <w:rFonts w:ascii="Arial" w:cs="Arial" w:eastAsia="Arial" w:hAnsi="Arial"/>
                <w:color w:val="4A4A4A"/>
                <w:sz w:val="21"/>
                <w:szCs w:val="21"/>
              </w:rPr>
              <w:t xml:space="preserve">An on-lease deployment eliminates combustion-based flaring at the wellhead. Depending on jurisdiction and permit conditions, that can satisfy flaring compliance requirements directly—without infrastructure investment, without trucking, and without renegotiating a midstream contract. The operators who are already running these deployments are not doing it because they love Bitcoin. They’re doing it because it solved two problems simultaneously: compliance exposure and stranded revenue.</w:t>
            </w:r>
          </w:p>
        </w:tc>
      </w:tr>
    </w:tbl>
    <w:p>
      <w:pPr>
        <w:spacing w:before="160" w:after="80"/>
      </w:pPr>
      <w:r>
        <w:t xml:space="preserve"/>
      </w:r>
    </w:p>
    <w:p>
      <w:pPr>
        <w:pBdr>
          <w:bottom w:val="single" w:color="E8500A" w:sz="4" w:space="4"/>
        </w:pBdr>
        <w:spacing w:before="360" w:after="100"/>
      </w:pPr>
      <w:r>
        <w:rPr>
          <w:rFonts w:ascii="Arial" w:cs="Arial" w:eastAsia="Arial" w:hAnsi="Arial"/>
          <w:b/>
          <w:bCs/>
          <w:color w:val="1A1A1A"/>
          <w:sz w:val="26"/>
          <w:szCs w:val="26"/>
        </w:rPr>
        <w:t xml:space="preserve">The Operators Who Are Already Doing It</w:t>
      </w:r>
    </w:p>
    <w:p>
      <w:pPr>
        <w:spacing w:before="100" w:after="180"/>
      </w:pPr>
      <w:r>
        <w:rPr>
          <w:rFonts w:ascii="Arial" w:cs="Arial" w:eastAsia="Arial" w:hAnsi="Arial"/>
          <w:color w:val="4A4A4A"/>
          <w:sz w:val="22"/>
          <w:szCs w:val="22"/>
        </w:rPr>
        <w:t xml:space="preserve">Gas-to-hash is not an emerging category being tested by a few risk-tolerant independents. It is an operational practice that has been running on pads across the Permian, Bakken, DJ Basin, and Eagle Ford for years. The operators running these deployments are not Bitcoin enthusiasts. They are production-focused independents who evaluated the economics, compared them to their alternatives, and made a business decision.</w:t>
      </w:r>
    </w:p>
    <w:p>
      <w:pPr>
        <w:spacing w:before="100" w:after="180"/>
      </w:pPr>
      <w:r>
        <w:rPr>
          <w:rFonts w:ascii="Arial" w:cs="Arial" w:eastAsia="Arial" w:hAnsi="Arial"/>
          <w:color w:val="4A4A4A"/>
          <w:sz w:val="22"/>
          <w:szCs w:val="22"/>
        </w:rPr>
        <w:t xml:space="preserve">They are not talking about it publicly, for the most part. The operators who benefit most from a competitive information asymmetry are not rushing to announce it. But they are deploying. And every month their flare gas runs through a generator instead of a flare tip, the gap widens between their economics and the economics of operators who are still waiting to decide whether they trust cryptocurrency.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2B2B2B" w:val="clear"/>
            <w:tcMar>
              <w:top w:type="dxa" w:w="220"/>
              <w:left w:type="dxa" w:w="320"/>
              <w:bottom w:type="dxa" w:w="220"/>
              <w:right w:type="dxa" w:w="320"/>
            </w:tcMar>
          </w:tcPr>
          <w:p>
            <w:pPr>
              <w:jc w:val="center"/>
            </w:pPr>
            <w:r>
              <w:rPr>
                <w:rFonts w:ascii="Arial" w:cs="Arial" w:eastAsia="Arial" w:hAnsi="Arial"/>
                <w:b/>
                <w:bCs/>
                <w:color w:val="FFFFFF"/>
                <w:sz w:val="24"/>
                <w:szCs w:val="24"/>
              </w:rPr>
              <w:t xml:space="preserve">The decision was never about cryptocurrency. It was always about whether you want revenue from gas that is currently worth nothing.</w:t>
            </w:r>
          </w:p>
        </w:tc>
      </w:tr>
    </w:tbl>
    <w:p>
      <w:pPr>
        <w:spacing w:before="160" w:after="80"/>
      </w:pPr>
      <w:r>
        <w:t xml:space="preserve"/>
      </w:r>
    </w:p>
    <w:p>
      <w:pPr>
        <w:pBdr>
          <w:bottom w:val="single" w:color="E8500A" w:sz="4" w:space="4"/>
        </w:pBdr>
        <w:spacing w:before="360" w:after="100"/>
      </w:pPr>
      <w:r>
        <w:rPr>
          <w:rFonts w:ascii="Arial" w:cs="Arial" w:eastAsia="Arial" w:hAnsi="Arial"/>
          <w:b/>
          <w:bCs/>
          <w:color w:val="1A1A1A"/>
          <w:sz w:val="26"/>
          <w:szCs w:val="26"/>
        </w:rPr>
        <w:t xml:space="preserve">The Actual Question</w:t>
      </w:r>
    </w:p>
    <w:p>
      <w:pPr>
        <w:spacing w:before="100" w:after="180"/>
      </w:pPr>
      <w:r>
        <w:rPr>
          <w:rFonts w:ascii="Arial" w:cs="Arial" w:eastAsia="Arial" w:hAnsi="Arial"/>
          <w:color w:val="4A4A4A"/>
          <w:sz w:val="22"/>
          <w:szCs w:val="22"/>
        </w:rPr>
        <w:t xml:space="preserve">The on-lease moment is not a Bitcoin story. It is a stranded asset story. It is about gas volumes that have no economic outlet and are being burned because the alternative—doing nothing—was cheaper than the available infrastructure solutions. For those volumes, on-lease deployment has changed the calculus entirely.</w:t>
      </w:r>
    </w:p>
    <w:p>
      <w:pPr>
        <w:spacing w:before="100" w:after="180"/>
      </w:pPr>
      <w:r>
        <w:rPr>
          <w:rFonts w:ascii="Arial" w:cs="Arial" w:eastAsia="Arial" w:hAnsi="Arial"/>
          <w:color w:val="4A4A4A"/>
          <w:sz w:val="22"/>
          <w:szCs w:val="22"/>
        </w:rPr>
        <w:t xml:space="preserve">The question is not whether you believe in Bitcoin. The question is whether you want revenue from gas that is currently generating zero, whether you want to solve a compliance problem before it solves itself on a regulator’s timeline, and whether you want to still be evaluating this when your competitors are eighteen months into their second deployment cycle.</w:t>
      </w:r>
    </w:p>
    <w:p>
      <w:pPr>
        <w:spacing w:before="100" w:after="180"/>
      </w:pPr>
      <w:r>
        <w:rPr>
          <w:rFonts w:ascii="Arial" w:cs="Arial" w:eastAsia="Arial" w:hAnsi="Arial"/>
          <w:b/>
          <w:bCs/>
          <w:color w:val="1A1A1A"/>
          <w:sz w:val="22"/>
          <w:szCs w:val="22"/>
        </w:rPr>
        <w:t xml:space="preserve">Denial is not a strategy. It is a choice about who gets the revenue from your gas.</w:t>
      </w:r>
    </w:p>
    <w:p>
      <w:pPr>
        <w:spacing w:before="180" w:after="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1A1A1A" w:val="clear"/>
            <w:tcMar>
              <w:top w:type="dxa" w:w="240"/>
              <w:left w:type="dxa" w:w="320"/>
              <w:bottom w:type="dxa" w:w="240"/>
              <w:right w:type="dxa" w:w="320"/>
            </w:tcMar>
          </w:tcPr>
          <w:p>
            <w:pPr>
              <w:spacing w:before="0" w:after="80"/>
              <w:jc w:val="center"/>
            </w:pPr>
            <w:r>
              <w:rPr>
                <w:rFonts w:ascii="Arial" w:cs="Arial" w:eastAsia="Arial" w:hAnsi="Arial"/>
                <w:b/>
                <w:bCs/>
                <w:color w:val="FFFFFF"/>
                <w:sz w:val="25"/>
                <w:szCs w:val="25"/>
              </w:rPr>
              <w:t xml:space="preserve">See if your gas qualifies.</w:t>
            </w:r>
          </w:p>
          <w:p>
            <w:pPr>
              <w:spacing w:before="0" w:after="100"/>
              <w:jc w:val="center"/>
            </w:pPr>
            <w:r>
              <w:rPr>
                <w:rFonts w:ascii="Arial" w:cs="Arial" w:eastAsia="Arial" w:hAnsi="Arial"/>
                <w:color w:val="BBBBBB"/>
                <w:sz w:val="20"/>
                <w:szCs w:val="20"/>
              </w:rPr>
              <w:t xml:space="preserve">Run the numbers at tools.mcf.digital or book a 15-minute fit call. We’ll tell you whether your pad works—volumes, gas quality, and regulatory situation included.</w:t>
            </w:r>
          </w:p>
          <w:p>
            <w:pPr>
              <w:spacing w:before="0" w:after="0"/>
              <w:jc w:val="center"/>
            </w:pPr>
            <w:r>
              <w:rPr>
                <w:rFonts w:ascii="Arial" w:cs="Arial" w:eastAsia="Arial" w:hAnsi="Arial"/>
                <w:b/>
                <w:bCs/>
                <w:color w:val="E8500A"/>
                <w:sz w:val="22"/>
                <w:szCs w:val="22"/>
              </w:rPr>
              <w:t xml:space="preserve">tools.mcf.digital</w:t>
            </w:r>
            <w:r>
              <w:rPr>
                <w:rFonts w:ascii="Arial" w:cs="Arial" w:eastAsia="Arial" w:hAnsi="Arial"/>
                <w:color w:val="E8500A"/>
                <w:sz w:val="20"/>
                <w:szCs w:val="20"/>
              </w:rPr>
              <w:t xml:space="preserve">   ·   mcf.digital/flare-site-operators</w:t>
            </w:r>
          </w:p>
        </w:tc>
      </w:tr>
    </w:tbl>
    <w:p>
      <w:pPr>
        <w:spacing w:before="200" w:after="80"/>
      </w:pPr>
      <w:r>
        <w:t xml:space="preserve"/>
      </w:r>
    </w:p>
    <w:p>
      <w:pPr>
        <w:pBdr>
          <w:top w:val="single" w:color="DDDDDD" w:sz="4" w:space="4"/>
        </w:pBdr>
        <w:spacing w:before="0" w:after="0"/>
      </w:pPr>
      <w:r>
        <w:t xml:space="preserve"/>
      </w:r>
    </w:p>
    <w:p>
      <w:pPr>
        <w:spacing w:before="80" w:after="40"/>
      </w:pPr>
      <w:r>
        <w:t xml:space="preserve"/>
      </w:r>
    </w:p>
    <w:p>
      <w:pPr>
        <w:spacing w:before="0" w:after="60"/>
      </w:pPr>
      <w:r>
        <w:rPr>
          <w:rFonts w:ascii="Arial" w:cs="Arial" w:eastAsia="Arial" w:hAnsi="Arial"/>
          <w:b/>
          <w:bCs/>
          <w:color w:val="1A1A1A"/>
          <w:sz w:val="20"/>
          <w:szCs w:val="20"/>
        </w:rPr>
        <w:t xml:space="preserve">Related Reading</w:t>
      </w:r>
    </w:p>
    <w:p>
      <w:pPr>
        <w:pStyle w:val="ListParagraph"/>
        <w:numPr>
          <w:ilvl w:val="0"/>
          <w:numId w:val="2"/>
        </w:numPr>
        <w:spacing w:before="40" w:after="40"/>
      </w:pPr>
      <w:r>
        <w:rPr>
          <w:rFonts w:ascii="Arial" w:cs="Arial" w:eastAsia="Arial" w:hAnsi="Arial"/>
          <w:color w:val="666666"/>
          <w:sz w:val="20"/>
          <w:szCs w:val="20"/>
        </w:rPr>
        <w:t xml:space="preserve">What Is Flare Gas? — mcf.digital/glossary/what-is-flare-gas</w:t>
      </w:r>
    </w:p>
    <w:p>
      <w:pPr>
        <w:pStyle w:val="ListParagraph"/>
        <w:numPr>
          <w:ilvl w:val="0"/>
          <w:numId w:val="2"/>
        </w:numPr>
        <w:spacing w:before="40" w:after="40"/>
      </w:pPr>
      <w:r>
        <w:rPr>
          <w:rFonts w:ascii="Arial" w:cs="Arial" w:eastAsia="Arial" w:hAnsi="Arial"/>
          <w:color w:val="666666"/>
          <w:sz w:val="20"/>
          <w:szCs w:val="20"/>
        </w:rPr>
        <w:t xml:space="preserve">Operators Don’t Need to Understand Bitcoin to Benefit from It — mcf.digital/articles/operators-dont-need-bitcoin</w:t>
      </w:r>
    </w:p>
    <w:p>
      <w:pPr>
        <w:pStyle w:val="ListParagraph"/>
        <w:numPr>
          <w:ilvl w:val="0"/>
          <w:numId w:val="2"/>
        </w:numPr>
        <w:spacing w:before="40" w:after="40"/>
      </w:pPr>
      <w:r>
        <w:rPr>
          <w:rFonts w:ascii="Arial" w:cs="Arial" w:eastAsia="Arial" w:hAnsi="Arial"/>
          <w:color w:val="666666"/>
          <w:sz w:val="20"/>
          <w:szCs w:val="20"/>
        </w:rPr>
        <w:t xml:space="preserve">Bitcoin Price Is Not the Risk You Think It Is — mcf.digital/articles/bitcoin-price-not-the-risk</w:t>
      </w:r>
    </w:p>
    <w:p>
      <w:pPr>
        <w:pStyle w:val="ListParagraph"/>
        <w:numPr>
          <w:ilvl w:val="0"/>
          <w:numId w:val="2"/>
        </w:numPr>
        <w:spacing w:before="40" w:after="40"/>
      </w:pPr>
      <w:r>
        <w:rPr>
          <w:rFonts w:ascii="Arial" w:cs="Arial" w:eastAsia="Arial" w:hAnsi="Arial"/>
          <w:color w:val="666666"/>
          <w:sz w:val="20"/>
          <w:szCs w:val="20"/>
        </w:rPr>
        <w:t xml:space="preserve">US Flaring Regulation in 2026: What Operators Need to Know — mcf.digital/reports/us-flaring-regulation-2026</w:t>
      </w:r>
    </w:p>
    <w:p>
      <w:pPr>
        <w:spacing w:before="100" w:after="60"/>
      </w:pPr>
      <w:r>
        <w:t xml:space="preserve"/>
      </w:r>
    </w:p>
    <w:p>
      <w:pPr>
        <w:spacing w:before="0" w:after="0"/>
      </w:pPr>
      <w:r>
        <w:rPr>
          <w:rFonts w:ascii="Arial" w:cs="Arial" w:eastAsia="Arial" w:hAnsi="Arial"/>
          <w:b/>
          <w:bCs/>
          <w:color w:val="1A1A1A"/>
          <w:sz w:val="19"/>
          <w:szCs w:val="19"/>
        </w:rPr>
        <w:t xml:space="preserve">MCF.digital</w:t>
      </w:r>
      <w:r>
        <w:rPr>
          <w:rFonts w:ascii="Arial" w:cs="Arial" w:eastAsia="Arial" w:hAnsi="Arial"/>
          <w:color w:val="999999"/>
          <w:sz w:val="18"/>
          <w:szCs w:val="18"/>
        </w:rPr>
        <w:t xml:space="preserve">  ·  On-Lease Bitcoin Mining  ·  Flare Gas Monetization  ·  Gas-to-Hash Operator</w:t>
      </w:r>
    </w:p>
    <w:p>
      <w:pPr>
        <w:spacing w:before="40" w:after="0"/>
      </w:pPr>
      <w:r>
        <w:rPr>
          <w:rFonts w:ascii="Arial" w:cs="Arial" w:eastAsia="Arial" w:hAnsi="Arial"/>
          <w:color w:val="BBBBBB"/>
          <w:sz w:val="16"/>
          <w:szCs w:val="16"/>
        </w:rPr>
        <w:t xml:space="preserve">Audience: Operators  ·  Category: Thought Leadership  ·  mcf.digital/articles/denial-is-the-new-poverty</w:t>
      </w:r>
    </w:p>
    <w:sectPr>
      <w:headerReference w:type="default" r:id="rId6"/>
      <w:footerReference w:type="default" r:id="rId7"/>
      <w:pgSz w:w="12240" w:h="15840" w:orient="portrait"/>
      <w:pgMar w:top="1080" w:right="1980" w:bottom="108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828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mcf.digital/articles/denial-is-the-new-poverty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THOUGHT LEADERSHIP  |  Denial Is the New Poverty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2026-02-27T12:09:43.198Z</dcterms:created>
  <dcterms:modified xsi:type="dcterms:W3CDTF">2026-02-27T12:09:43.200Z</dcterms:modified>
</cp:coreProperties>
</file>

<file path=docProps/custom.xml><?xml version="1.0" encoding="utf-8"?>
<Properties xmlns="http://schemas.openxmlformats.org/officeDocument/2006/custom-properties" xmlns:vt="http://schemas.openxmlformats.org/officeDocument/2006/docPropsVTypes"/>
</file>