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pPr>
      <w:r>
        <w:rPr>
          <w:rFonts w:ascii="Arial" w:cs="Arial" w:eastAsia="Arial" w:hAnsi="Arial"/>
          <w:caps/>
          <w:color w:val="AAAAAA"/>
          <w:sz w:val="17"/>
          <w:szCs w:val="17"/>
        </w:rPr>
        <w:t xml:space="preserve">THOUGHT LEADERSHIP  //  BITCOIN  ·  QUANTUM COMPUTING  ·  ALL AUDIENCES</w:t>
      </w:r>
    </w:p>
    <w:p>
      <w:pPr>
        <w:spacing w:before="40" w:after="40"/>
      </w:pPr>
      <w:r>
        <w:rPr>
          <w:rFonts w:ascii="Arial" w:cs="Arial" w:eastAsia="Arial" w:hAnsi="Arial"/>
          <w:b/>
          <w:bCs/>
          <w:color w:val="1A1A1A"/>
          <w:sz w:val="46"/>
          <w:szCs w:val="46"/>
        </w:rPr>
        <w:t xml:space="preserve">What the Quantum Computing</w:t>
      </w:r>
    </w:p>
    <w:p>
      <w:pPr>
        <w:spacing w:before="0" w:after="40"/>
      </w:pPr>
      <w:r>
        <w:rPr>
          <w:rFonts w:ascii="Arial" w:cs="Arial" w:eastAsia="Arial" w:hAnsi="Arial"/>
          <w:b/>
          <w:bCs/>
          <w:color w:val="E8500A"/>
          <w:sz w:val="46"/>
          <w:szCs w:val="46"/>
        </w:rPr>
        <w:t xml:space="preserve">Revolution Means for Bitcoin Mining</w:t>
      </w:r>
    </w:p>
    <w:p>
      <w:pPr>
        <w:spacing w:before="0" w:after="80"/>
      </w:pPr>
      <w:r>
        <w:rPr>
          <w:rFonts w:ascii="Arial" w:cs="Arial" w:eastAsia="Arial" w:hAnsi="Arial"/>
          <w:b/>
          <w:bCs/>
          <w:color w:val="1A1A1A"/>
          <w:sz w:val="32"/>
          <w:szCs w:val="32"/>
        </w:rPr>
        <w:t xml:space="preserve">(Not What You Think)</w:t>
      </w:r>
    </w:p>
    <w:p>
      <w:pPr>
        <w:spacing w:before="40" w:after="0"/>
      </w:pPr>
      <w:r>
        <w:t xml:space="preserve"/>
      </w:r>
    </w:p>
    <w:p>
      <w:pPr>
        <w:pBdr>
          <w:bottom w:val="single" w:color="E0E0E0" w:sz="2" w:space="8"/>
        </w:pBdr>
        <w:spacing w:before="0" w:after="0"/>
      </w:pPr>
      <w:r>
        <w:rPr>
          <w:rFonts w:ascii="Arial" w:cs="Arial" w:eastAsia="Arial" w:hAnsi="Arial"/>
          <w:b/>
          <w:bCs/>
          <w:color w:val="E8500A"/>
          <w:sz w:val="19"/>
          <w:szCs w:val="19"/>
        </w:rPr>
        <w:t xml:space="preserve">By MCF.digital Operations Team</w:t>
      </w:r>
      <w:r>
        <w:rPr>
          <w:rFonts w:ascii="Arial" w:cs="Arial" w:eastAsia="Arial" w:hAnsi="Arial"/>
          <w:b/>
          <w:bCs/>
          <w:color w:val="1A3A5C"/>
          <w:sz w:val="19"/>
          <w:szCs w:val="19"/>
        </w:rPr>
        <w:t xml:space="preserve">  ·  In partnership with the Quantum Core Institute</w:t>
      </w:r>
      <w:r>
        <w:rPr>
          <w:rFonts w:ascii="Arial" w:cs="Arial" w:eastAsia="Arial" w:hAnsi="Arial"/>
          <w:color w:val="AAAAAA"/>
          <w:sz w:val="19"/>
          <w:szCs w:val="19"/>
        </w:rPr>
        <w:t xml:space="preserve">   ·   mcf.digital/articles/quantum-computing-bitcoin-mining</w:t>
      </w:r>
    </w:p>
    <w:p>
      <w:pPr>
        <w:spacing w:before="200" w:after="0"/>
      </w:pPr>
      <w:r>
        <w:t xml:space="preserve"/>
      </w:r>
    </w:p>
    <w:p>
      <w:pPr>
        <w:spacing w:before="0" w:after="240"/>
      </w:pPr>
      <w:r>
        <w:rPr>
          <w:rFonts w:ascii="Arial" w:cs="Arial" w:eastAsia="Arial" w:hAnsi="Arial"/>
          <w:i/>
          <w:iCs/>
          <w:color w:val="4A4A4A"/>
          <w:sz w:val="25"/>
          <w:szCs w:val="25"/>
        </w:rPr>
        <w:t xml:space="preserve">Whenever quantum computing has a breakthrough moment—a new qubit record, a government announcement, a headline from a major research lab—the same prediction resurfaces: quantum computers will break Bitcoin. The prediction is not crazy. It is also not imminent. And the gap between those two facts is where most of the commentary gets lost.</w:t>
      </w:r>
    </w:p>
    <w:p>
      <w:pPr>
        <w:spacing w:before="100" w:after="180"/>
      </w:pPr>
      <w:r>
        <w:rPr>
          <w:rFonts w:ascii="Arial" w:cs="Arial" w:eastAsia="Arial" w:hAnsi="Arial"/>
          <w:color w:val="4A4A4A"/>
          <w:sz w:val="22"/>
          <w:szCs w:val="22"/>
        </w:rPr>
        <w:t xml:space="preserve">This piece is for operators, miners, and investors who have encountered the quantum threat narrative and want a grounded assessment rather than either dismissal or alarm. It draws on MCF.digital’s operational perspective on Bitcoin mining and on the Quantum Core Institute’s work in post-quantum cryptography—two positions that together allow for a more complete answer than either can provide alone.</w:t>
      </w:r>
    </w:p>
    <w:p>
      <w:pPr>
        <w:spacing w:before="100" w:after="80"/>
      </w:pPr>
      <w:r>
        <w:t xml:space="preserve"/>
      </w:r>
    </w:p>
    <w:p>
      <w:pPr>
        <w:pBdr>
          <w:bottom w:val="single" w:color="E8500A" w:sz="4" w:space="4"/>
        </w:pBdr>
        <w:spacing w:before="360" w:after="100"/>
      </w:pPr>
      <w:r>
        <w:rPr>
          <w:rFonts w:ascii="Arial" w:cs="Arial" w:eastAsia="Arial" w:hAnsi="Arial"/>
          <w:b/>
          <w:bCs/>
          <w:color w:val="1A1A1A"/>
          <w:sz w:val="26"/>
          <w:szCs w:val="26"/>
        </w:rPr>
        <w:t xml:space="preserve">What the Threat Actually Is—and What It Isn’t</w:t>
      </w:r>
    </w:p>
    <w:p>
      <w:pPr>
        <w:spacing w:before="100" w:after="180"/>
      </w:pPr>
      <w:r>
        <w:rPr>
          <w:rFonts w:ascii="Arial" w:cs="Arial" w:eastAsia="Arial" w:hAnsi="Arial"/>
          <w:color w:val="4A4A4A"/>
          <w:sz w:val="22"/>
          <w:szCs w:val="22"/>
        </w:rPr>
        <w:t xml:space="preserve">Bitcoin’s security rests on two cryptographic foundations. The first is SHA-256, the hashing algorithm used in proof-of-work mining. The second is the elliptic curve digital signature algorithm (ECDSA), which secures wallet addresses and transaction signing. These are different systems with different quantum vulnerabilities, and conflating them is where most of the threat narrative goes wrong.</w:t>
      </w:r>
    </w:p>
    <w:p>
      <w:pPr>
        <w:spacing w:before="100" w:after="180"/>
      </w:pPr>
      <w:r>
        <w:rPr>
          <w:rFonts w:ascii="Arial" w:cs="Arial" w:eastAsia="Arial" w:hAnsi="Arial"/>
          <w:color w:val="4A4A4A"/>
          <w:sz w:val="22"/>
          <w:szCs w:val="22"/>
        </w:rPr>
        <w:t xml:space="preserve">SHA-256, which is what Bitcoin miners operate against, is largely resistant to quantum attack. Grover’s algorithm—the primary quantum tool relevant to hash functions—could theoretically reduce Bitcoin’s effective security from 256 bits to approximately 128 bits. That remains computationally infeasible to exploit even with quantum hardware that does not currently exist at the required scale. The mining side of Bitcoin’s security is not where the quantum risk lives.</w:t>
      </w:r>
    </w:p>
    <w:p>
      <w:pPr>
        <w:spacing w:before="100" w:after="180"/>
      </w:pPr>
      <w:r>
        <w:rPr>
          <w:rFonts w:ascii="Arial" w:cs="Arial" w:eastAsia="Arial" w:hAnsi="Arial"/>
          <w:color w:val="4A4A4A"/>
          <w:sz w:val="22"/>
          <w:szCs w:val="22"/>
        </w:rPr>
        <w:t xml:space="preserve">ECDSA is more vulnerable in principle. Shor’s algorithm could, given a sufficiently powerful fault-tolerant quantum computer, derive a private key from a public key. Bitcoin addresses that have been used—and have therefore exposed their public keys on-chain—carry some theoretical exposure from this vector. Dormant early wallets, including potentially some of Satoshi Nakamoto’s holdings, have received serious academic attention on this question.</w:t>
      </w:r>
    </w:p>
    <w:p>
      <w:pPr>
        <w:spacing w:before="10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200"/>
        <w:gridCol w:w="4440"/>
      </w:tblGrid>
      <w:tr>
        <w:trPr>
          <w:tblHeader/>
        </w:trPr>
        <w:tc>
          <w:tcPr>
            <w:tcW w:type="dxa" w:w="4200"/>
            <w:tcBorders>
              <w:top w:val="single" w:color="DDDDDD" w:sz="1"/>
              <w:left w:val="single" w:color="DDDDDD" w:sz="1"/>
              <w:bottom w:val="single" w:color="DDDDDD" w:sz="1"/>
              <w:right w:val="single" w:color="DDDDDD" w:sz="1"/>
            </w:tcBorders>
            <w:shd w:fill="1A1A1A" w:val="clear"/>
            <w:tcMar>
              <w:top w:type="dxa" w:w="120"/>
              <w:left w:type="dxa" w:w="180"/>
              <w:bottom w:type="dxa" w:w="120"/>
              <w:right w:type="dxa" w:w="180"/>
            </w:tcMar>
          </w:tcPr>
          <w:p>
            <w:r>
              <w:rPr>
                <w:rFonts w:ascii="Arial" w:cs="Arial" w:eastAsia="Arial" w:hAnsi="Arial"/>
                <w:b/>
                <w:bCs/>
                <w:i w:val="false"/>
                <w:iCs w:val="false"/>
                <w:color w:val="FFFFFF"/>
                <w:sz w:val="19"/>
                <w:szCs w:val="19"/>
              </w:rPr>
              <w:t xml:space="preserve">WHAT PEOPLE SAY</w:t>
            </w:r>
          </w:p>
        </w:tc>
        <w:tc>
          <w:tcPr>
            <w:tcW w:type="dxa" w:w="4440"/>
            <w:tcBorders>
              <w:top w:val="single" w:color="DDDDDD" w:sz="1"/>
              <w:left w:val="single" w:color="DDDDDD" w:sz="1"/>
              <w:bottom w:val="single" w:color="DDDDDD" w:sz="1"/>
              <w:right w:val="single" w:color="DDDDDD" w:sz="1"/>
            </w:tcBorders>
            <w:shd w:fill="1A1A1A" w:val="clear"/>
            <w:tcMar>
              <w:top w:type="dxa" w:w="120"/>
              <w:left w:type="dxa" w:w="180"/>
              <w:bottom w:type="dxa" w:w="120"/>
              <w:right w:type="dxa" w:w="180"/>
            </w:tcMar>
          </w:tcPr>
          <w:p>
            <w:r>
              <w:rPr>
                <w:rFonts w:ascii="Arial" w:cs="Arial" w:eastAsia="Arial" w:hAnsi="Arial"/>
                <w:b/>
                <w:bCs/>
                <w:color w:val="FFFFFF"/>
                <w:sz w:val="19"/>
                <w:szCs w:val="19"/>
              </w:rPr>
              <w:t xml:space="preserve">WHAT THE EVIDENCE SHOWS</w:t>
            </w:r>
          </w:p>
        </w:tc>
      </w:tr>
      <w:tr>
        <w:tc>
          <w:tcPr>
            <w:tcW w:type="dxa" w:w="4200"/>
            <w:tcBorders>
              <w:top w:val="single" w:color="DDDDDD" w:sz="1"/>
              <w:left w:val="single" w:color="DDDDDD" w:sz="1"/>
              <w:bottom w:val="single" w:color="DDDDDD" w:sz="1"/>
              <w:right w:val="single" w:color="DDDDDD" w:sz="1"/>
            </w:tcBorders>
            <w:shd w:fill="FFFAFA" w:val="clear"/>
            <w:tcMar>
              <w:top w:type="dxa" w:w="120"/>
              <w:left w:type="dxa" w:w="180"/>
              <w:bottom w:type="dxa" w:w="120"/>
              <w:right w:type="dxa" w:w="180"/>
            </w:tcMar>
          </w:tcPr>
          <w:p>
            <w:r>
              <w:rPr>
                <w:rFonts w:ascii="Arial" w:cs="Arial" w:eastAsia="Arial" w:hAnsi="Arial"/>
                <w:i/>
                <w:iCs/>
                <w:color w:val="C62828"/>
                <w:sz w:val="21"/>
                <w:szCs w:val="21"/>
              </w:rPr>
              <w:t xml:space="preserve">Quantum computers will break Bitcoin mining</w:t>
            </w:r>
          </w:p>
        </w:tc>
        <w:tc>
          <w:tcPr>
            <w:tcW w:type="dxa" w:w="4440"/>
            <w:tcBorders>
              <w:top w:val="single" w:color="DDDDDD" w:sz="1"/>
              <w:left w:val="single" w:color="DDDDDD" w:sz="1"/>
              <w:bottom w:val="single" w:color="DDDDDD" w:sz="1"/>
              <w:right w:val="single" w:color="DDDDDD" w:sz="1"/>
            </w:tcBorders>
            <w:shd w:fill="FAFFFA" w:val="clear"/>
            <w:tcMar>
              <w:top w:type="dxa" w:w="120"/>
              <w:left w:type="dxa" w:w="180"/>
              <w:bottom w:type="dxa" w:w="120"/>
              <w:right w:type="dxa" w:w="180"/>
            </w:tcMar>
          </w:tcPr>
          <w:p>
            <w:r>
              <w:rPr>
                <w:rFonts w:ascii="Arial" w:cs="Arial" w:eastAsia="Arial" w:hAnsi="Arial"/>
                <w:color w:val="2E7D32"/>
                <w:sz w:val="21"/>
                <w:szCs w:val="21"/>
              </w:rPr>
              <w:t xml:space="preserve">SHA-256 has strong quantum resistance. Mining is not the vulnerable component.</w:t>
            </w:r>
          </w:p>
        </w:tc>
      </w:tr>
      <w:tr>
        <w:tc>
          <w:tcPr>
            <w:tcW w:type="dxa" w:w="4200"/>
            <w:tcBorders>
              <w:top w:val="single" w:color="DDDDDD" w:sz="1"/>
              <w:left w:val="single" w:color="DDDDDD" w:sz="1"/>
              <w:bottom w:val="single" w:color="DDDDDD" w:sz="1"/>
              <w:right w:val="single" w:color="DDDDDD" w:sz="1"/>
            </w:tcBorders>
            <w:shd w:fill="FFFAFA" w:val="clear"/>
            <w:tcMar>
              <w:top w:type="dxa" w:w="120"/>
              <w:left w:type="dxa" w:w="180"/>
              <w:bottom w:type="dxa" w:w="120"/>
              <w:right w:type="dxa" w:w="180"/>
            </w:tcMar>
          </w:tcPr>
          <w:p>
            <w:r>
              <w:rPr>
                <w:rFonts w:ascii="Arial" w:cs="Arial" w:eastAsia="Arial" w:hAnsi="Arial"/>
                <w:i/>
                <w:iCs/>
                <w:color w:val="C62828"/>
                <w:sz w:val="21"/>
                <w:szCs w:val="21"/>
              </w:rPr>
              <w:t xml:space="preserve">It could happen any day now</w:t>
            </w:r>
          </w:p>
        </w:tc>
        <w:tc>
          <w:tcPr>
            <w:tcW w:type="dxa" w:w="4440"/>
            <w:tcBorders>
              <w:top w:val="single" w:color="DDDDDD" w:sz="1"/>
              <w:left w:val="single" w:color="DDDDDD" w:sz="1"/>
              <w:bottom w:val="single" w:color="DDDDDD" w:sz="1"/>
              <w:right w:val="single" w:color="DDDDDD" w:sz="1"/>
            </w:tcBorders>
            <w:shd w:fill="FAFFFA" w:val="clear"/>
            <w:tcMar>
              <w:top w:type="dxa" w:w="120"/>
              <w:left w:type="dxa" w:w="180"/>
              <w:bottom w:type="dxa" w:w="120"/>
              <w:right w:type="dxa" w:w="180"/>
            </w:tcMar>
          </w:tcPr>
          <w:p>
            <w:r>
              <w:rPr>
                <w:rFonts w:ascii="Arial" w:cs="Arial" w:eastAsia="Arial" w:hAnsi="Arial"/>
                <w:color w:val="2E7D32"/>
                <w:sz w:val="21"/>
                <w:szCs w:val="21"/>
              </w:rPr>
              <w:t xml:space="preserve">Breaking ECDSA requires millions of stable, error-corrected logical qubits. Current hardware has thousands of noisy physical qubits.</w:t>
            </w:r>
          </w:p>
        </w:tc>
      </w:tr>
      <w:tr>
        <w:tc>
          <w:tcPr>
            <w:tcW w:type="dxa" w:w="4200"/>
            <w:tcBorders>
              <w:top w:val="single" w:color="DDDDDD" w:sz="1"/>
              <w:left w:val="single" w:color="DDDDDD" w:sz="1"/>
              <w:bottom w:val="single" w:color="DDDDDD" w:sz="1"/>
              <w:right w:val="single" w:color="DDDDDD" w:sz="1"/>
            </w:tcBorders>
            <w:shd w:fill="FFFAFA" w:val="clear"/>
            <w:tcMar>
              <w:top w:type="dxa" w:w="120"/>
              <w:left w:type="dxa" w:w="180"/>
              <w:bottom w:type="dxa" w:w="120"/>
              <w:right w:type="dxa" w:w="180"/>
            </w:tcMar>
          </w:tcPr>
          <w:p>
            <w:r>
              <w:rPr>
                <w:rFonts w:ascii="Arial" w:cs="Arial" w:eastAsia="Arial" w:hAnsi="Arial"/>
                <w:i/>
                <w:iCs/>
                <w:color w:val="C62828"/>
                <w:sz w:val="21"/>
                <w:szCs w:val="21"/>
              </w:rPr>
              <w:t xml:space="preserve">Bitcoin has no defense against this</w:t>
            </w:r>
          </w:p>
        </w:tc>
        <w:tc>
          <w:tcPr>
            <w:tcW w:type="dxa" w:w="4440"/>
            <w:tcBorders>
              <w:top w:val="single" w:color="DDDDDD" w:sz="1"/>
              <w:left w:val="single" w:color="DDDDDD" w:sz="1"/>
              <w:bottom w:val="single" w:color="DDDDDD" w:sz="1"/>
              <w:right w:val="single" w:color="DDDDDD" w:sz="1"/>
            </w:tcBorders>
            <w:shd w:fill="FAFFFA" w:val="clear"/>
            <w:tcMar>
              <w:top w:type="dxa" w:w="120"/>
              <w:left w:type="dxa" w:w="180"/>
              <w:bottom w:type="dxa" w:w="120"/>
              <w:right w:type="dxa" w:w="180"/>
            </w:tcMar>
          </w:tcPr>
          <w:p>
            <w:r>
              <w:rPr>
                <w:rFonts w:ascii="Arial" w:cs="Arial" w:eastAsia="Arial" w:hAnsi="Arial"/>
                <w:color w:val="2E7D32"/>
                <w:sz w:val="21"/>
                <w:szCs w:val="21"/>
              </w:rPr>
              <w:t xml:space="preserve">Post-quantum signature schemes exist today. Bitcoin has upgraded its cryptography before and has a clear migration path.</w:t>
            </w:r>
          </w:p>
        </w:tc>
      </w:tr>
      <w:tr>
        <w:tc>
          <w:tcPr>
            <w:tcW w:type="dxa" w:w="4200"/>
            <w:tcBorders>
              <w:top w:val="single" w:color="DDDDDD" w:sz="1"/>
              <w:left w:val="single" w:color="DDDDDD" w:sz="1"/>
              <w:bottom w:val="single" w:color="DDDDDD" w:sz="1"/>
              <w:right w:val="single" w:color="DDDDDD" w:sz="1"/>
            </w:tcBorders>
            <w:shd w:fill="FFFAFA" w:val="clear"/>
            <w:tcMar>
              <w:top w:type="dxa" w:w="120"/>
              <w:left w:type="dxa" w:w="180"/>
              <w:bottom w:type="dxa" w:w="120"/>
              <w:right w:type="dxa" w:w="180"/>
            </w:tcMar>
          </w:tcPr>
          <w:p>
            <w:r>
              <w:rPr>
                <w:rFonts w:ascii="Arial" w:cs="Arial" w:eastAsia="Arial" w:hAnsi="Arial"/>
                <w:i/>
                <w:iCs/>
                <w:color w:val="C62828"/>
                <w:sz w:val="21"/>
                <w:szCs w:val="21"/>
              </w:rPr>
              <w:t xml:space="preserve">All Bitcoin would be at risk simultaneously</w:t>
            </w:r>
          </w:p>
        </w:tc>
        <w:tc>
          <w:tcPr>
            <w:tcW w:type="dxa" w:w="4440"/>
            <w:tcBorders>
              <w:top w:val="single" w:color="DDDDDD" w:sz="1"/>
              <w:left w:val="single" w:color="DDDDDD" w:sz="1"/>
              <w:bottom w:val="single" w:color="DDDDDD" w:sz="1"/>
              <w:right w:val="single" w:color="DDDDDD" w:sz="1"/>
            </w:tcBorders>
            <w:shd w:fill="FAFFFA" w:val="clear"/>
            <w:tcMar>
              <w:top w:type="dxa" w:w="120"/>
              <w:left w:type="dxa" w:w="180"/>
              <w:bottom w:type="dxa" w:w="120"/>
              <w:right w:type="dxa" w:w="180"/>
            </w:tcMar>
          </w:tcPr>
          <w:p>
            <w:r>
              <w:rPr>
                <w:rFonts w:ascii="Arial" w:cs="Arial" w:eastAsia="Arial" w:hAnsi="Arial"/>
                <w:color w:val="2E7D32"/>
                <w:sz w:val="21"/>
                <w:szCs w:val="21"/>
              </w:rPr>
              <w:t xml:space="preserve">Only addresses that have exposed public keys (i.e., have been used) carry ECDSA exposure. Unused addresses are not vulnerable.</w:t>
            </w:r>
          </w:p>
        </w:tc>
      </w:tr>
    </w:tbl>
    <w:p>
      <w:pPr>
        <w:spacing w:before="18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FFF6F2" w:val="clear"/>
            <w:tcMar>
              <w:top w:type="dxa" w:w="240"/>
              <w:left w:type="dxa" w:w="320"/>
              <w:bottom w:type="dxa" w:w="240"/>
              <w:right w:type="dxa" w:w="320"/>
            </w:tcMar>
          </w:tcPr>
          <w:p>
            <w:pPr>
              <w:jc w:val="center"/>
            </w:pPr>
            <w:r>
              <w:rPr>
                <w:rFonts w:ascii="Arial" w:cs="Arial" w:eastAsia="Arial" w:hAnsi="Arial"/>
                <w:b/>
                <w:bCs/>
                <w:i/>
                <w:iCs/>
                <w:color w:val="1A1A1A"/>
                <w:sz w:val="28"/>
                <w:szCs w:val="28"/>
              </w:rPr>
              <w:t xml:space="preserve">“The threat is real on a long enough timeline. The timeline is not what the headlines suggest.”</w:t>
            </w:r>
          </w:p>
        </w:tc>
      </w:tr>
    </w:tbl>
    <w:p>
      <w:pPr>
        <w:spacing w:before="180" w:after="80"/>
      </w:pPr>
      <w:r>
        <w:t xml:space="preserve"/>
      </w:r>
    </w:p>
    <w:p>
      <w:pPr>
        <w:pBdr>
          <w:bottom w:val="single" w:color="E8500A" w:sz="4" w:space="4"/>
        </w:pBdr>
        <w:spacing w:before="360" w:after="100"/>
      </w:pPr>
      <w:r>
        <w:rPr>
          <w:rFonts w:ascii="Arial" w:cs="Arial" w:eastAsia="Arial" w:hAnsi="Arial"/>
          <w:b/>
          <w:bCs/>
          <w:color w:val="1A1A1A"/>
          <w:sz w:val="26"/>
          <w:szCs w:val="26"/>
        </w:rPr>
        <w:t xml:space="preserve">Where Quantum Hardware Actually Stands</w:t>
      </w:r>
    </w:p>
    <w:p>
      <w:pPr>
        <w:spacing w:before="100" w:after="180"/>
      </w:pPr>
      <w:r>
        <w:rPr>
          <w:rFonts w:ascii="Arial" w:cs="Arial" w:eastAsia="Arial" w:hAnsi="Arial"/>
          <w:color w:val="4A4A4A"/>
          <w:sz w:val="22"/>
          <w:szCs w:val="22"/>
        </w:rPr>
        <w:t xml:space="preserve">The gap between current quantum hardware and the capability required to threaten Bitcoin’s cryptography is not a matter of a few engineering improvements. It is a gap of several orders of magnitude in qubit quality, coherence time, and error correction.</w:t>
      </w:r>
    </w:p>
    <w:p>
      <w:pPr>
        <w:spacing w:before="100" w:after="180"/>
      </w:pPr>
      <w:r>
        <w:rPr>
          <w:rFonts w:ascii="Arial" w:cs="Arial" w:eastAsia="Arial" w:hAnsi="Arial"/>
          <w:color w:val="4A4A4A"/>
          <w:sz w:val="22"/>
          <w:szCs w:val="22"/>
        </w:rPr>
        <w:t xml:space="preserve">Breaking ECDSA-256 with Shor’s algorithm is estimated to require on the order of 4,000 logical qubits operating with extremely low error rates—and each logical qubit requires hundreds to thousands of physical qubits for error correction at that fidelity. Conservative academic estimates put the required physical qubit count in the millions, operating with error rates several orders of magnitude lower than today’s best systems. IBM’s 2023 Condor processor reached 1,121 physical qubits. Google’s Willow chip, announced in late 2024, made significant progress on error correction but remains many years from the scale required for cryptographic attack.</w:t>
      </w:r>
    </w:p>
    <w:p>
      <w:pPr>
        <w:spacing w:before="100" w:after="180"/>
      </w:pPr>
      <w:r>
        <w:rPr>
          <w:rFonts w:ascii="Arial" w:cs="Arial" w:eastAsia="Arial" w:hAnsi="Arial"/>
          <w:color w:val="4A4A4A"/>
          <w:sz w:val="22"/>
          <w:szCs w:val="22"/>
        </w:rPr>
        <w:t xml:space="preserve">This is not a reason for complacency. It is a reason for calibration. The appropriate response to a credible but long-horizon threat is preparation, not panic—and that preparation is actively underway.</w:t>
      </w:r>
    </w:p>
    <w:p>
      <w:pPr>
        <w:spacing w:before="10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DDDDDD" w:sz="1"/>
              <w:left w:val="single" w:color="DDDDDD" w:sz="1"/>
              <w:bottom w:val="single" w:color="DDDDDD" w:sz="1"/>
              <w:right w:val="single" w:color="DDDDDD" w:sz="1"/>
            </w:tcBorders>
            <w:shd w:fill="E8E8E8" w:val="clear"/>
            <w:tcMar>
              <w:top w:type="dxa" w:w="100"/>
              <w:left w:type="dxa" w:w="180"/>
              <w:bottom w:type="dxa" w:w="60"/>
              <w:right w:type="dxa" w:w="180"/>
            </w:tcMar>
          </w:tcPr>
          <w:p>
            <w:pPr>
              <w:jc w:val="center"/>
            </w:pPr>
            <w:r>
              <w:rPr>
                <w:rFonts w:ascii="Arial" w:cs="Arial" w:eastAsia="Arial" w:hAnsi="Arial"/>
                <w:b/>
                <w:bCs/>
                <w:caps/>
                <w:color w:val="1A1A1A"/>
                <w:sz w:val="18"/>
                <w:szCs w:val="18"/>
              </w:rPr>
              <w:t xml:space="preserve">Today</w:t>
            </w:r>
          </w:p>
        </w:tc>
        <w:tc>
          <w:tcPr>
            <w:tcW w:type="dxa" w:w="2880"/>
            <w:tcBorders>
              <w:top w:val="single" w:color="DDDDDD" w:sz="1"/>
              <w:left w:val="single" w:color="DDDDDD" w:sz="1"/>
              <w:bottom w:val="single" w:color="DDDDDD" w:sz="1"/>
              <w:right w:val="single" w:color="DDDDDD" w:sz="1"/>
            </w:tcBorders>
            <w:shd w:fill="F0E8D8" w:val="clear"/>
            <w:tcMar>
              <w:top w:type="dxa" w:w="100"/>
              <w:left w:type="dxa" w:w="180"/>
              <w:bottom w:type="dxa" w:w="60"/>
              <w:right w:type="dxa" w:w="180"/>
            </w:tcMar>
          </w:tcPr>
          <w:p>
            <w:pPr>
              <w:jc w:val="center"/>
            </w:pPr>
            <w:r>
              <w:rPr>
                <w:rFonts w:ascii="Arial" w:cs="Arial" w:eastAsia="Arial" w:hAnsi="Arial"/>
                <w:b/>
                <w:bCs/>
                <w:caps/>
                <w:color w:val="1A1A1A"/>
                <w:sz w:val="18"/>
                <w:szCs w:val="18"/>
              </w:rPr>
              <w:t xml:space="preserve">Mid-term</w:t>
            </w:r>
          </w:p>
        </w:tc>
        <w:tc>
          <w:tcPr>
            <w:tcW w:type="dxa" w:w="2880"/>
            <w:tcBorders>
              <w:top w:val="single" w:color="DDDDDD" w:sz="1"/>
              <w:left w:val="single" w:color="DDDDDD" w:sz="1"/>
              <w:bottom w:val="single" w:color="DDDDDD" w:sz="1"/>
              <w:right w:val="single" w:color="DDDDDD" w:sz="1"/>
            </w:tcBorders>
            <w:shd w:fill="1A1A1A" w:val="clear"/>
            <w:tcMar>
              <w:top w:type="dxa" w:w="100"/>
              <w:left w:type="dxa" w:w="180"/>
              <w:bottom w:type="dxa" w:w="60"/>
              <w:right w:type="dxa" w:w="180"/>
            </w:tcMar>
          </w:tcPr>
          <w:p>
            <w:pPr>
              <w:jc w:val="center"/>
            </w:pPr>
            <w:r>
              <w:rPr>
                <w:rFonts w:ascii="Arial" w:cs="Arial" w:eastAsia="Arial" w:hAnsi="Arial"/>
                <w:b/>
                <w:bCs/>
                <w:caps/>
                <w:color w:val="FFFFFF"/>
                <w:sz w:val="18"/>
                <w:szCs w:val="18"/>
              </w:rPr>
              <w:t xml:space="preserve">Long horizon</w:t>
            </w:r>
          </w:p>
        </w:tc>
      </w:tr>
      <w:tr>
        <w:tc>
          <w:tcPr>
            <w:tcW w:type="dxa" w:w="2880"/>
            <w:tcBorders>
              <w:top w:val="single" w:color="DDDDDD" w:sz="1"/>
              <w:left w:val="single" w:color="DDDDDD" w:sz="1"/>
              <w:bottom w:val="single" w:color="DDDDDD" w:sz="1"/>
              <w:right w:val="single" w:color="DDDDDD" w:sz="1"/>
            </w:tcBorders>
            <w:shd w:fill="E8E8E8" w:val="clear"/>
            <w:tcMar>
              <w:top w:type="dxa" w:w="0"/>
              <w:left w:type="dxa" w:w="180"/>
              <w:bottom w:type="dxa" w:w="80"/>
              <w:right w:type="dxa" w:w="180"/>
            </w:tcMar>
          </w:tcPr>
          <w:p>
            <w:pPr>
              <w:jc w:val="center"/>
            </w:pPr>
            <w:r>
              <w:rPr>
                <w:rFonts w:ascii="Arial" w:cs="Arial" w:eastAsia="Arial" w:hAnsi="Arial"/>
                <w:b/>
                <w:bCs/>
                <w:color w:val="1A1A1A"/>
                <w:sz w:val="22"/>
                <w:szCs w:val="22"/>
              </w:rPr>
              <w:t xml:space="preserve">Thousands of noisy qubits</w:t>
            </w:r>
          </w:p>
        </w:tc>
        <w:tc>
          <w:tcPr>
            <w:tcW w:type="dxa" w:w="2880"/>
            <w:tcBorders>
              <w:top w:val="single" w:color="DDDDDD" w:sz="1"/>
              <w:left w:val="single" w:color="DDDDDD" w:sz="1"/>
              <w:bottom w:val="single" w:color="DDDDDD" w:sz="1"/>
              <w:right w:val="single" w:color="DDDDDD" w:sz="1"/>
            </w:tcBorders>
            <w:shd w:fill="F0E8D8" w:val="clear"/>
            <w:tcMar>
              <w:top w:type="dxa" w:w="0"/>
              <w:left w:type="dxa" w:w="180"/>
              <w:bottom w:type="dxa" w:w="80"/>
              <w:right w:type="dxa" w:w="180"/>
            </w:tcMar>
          </w:tcPr>
          <w:p>
            <w:pPr>
              <w:jc w:val="center"/>
            </w:pPr>
            <w:r>
              <w:rPr>
                <w:rFonts w:ascii="Arial" w:cs="Arial" w:eastAsia="Arial" w:hAnsi="Arial"/>
                <w:b/>
                <w:bCs/>
                <w:color w:val="1A1A1A"/>
                <w:sz w:val="22"/>
                <w:szCs w:val="22"/>
              </w:rPr>
              <w:t xml:space="preserve">Error-corrected logical qubits</w:t>
            </w:r>
          </w:p>
        </w:tc>
        <w:tc>
          <w:tcPr>
            <w:tcW w:type="dxa" w:w="2880"/>
            <w:tcBorders>
              <w:top w:val="single" w:color="DDDDDD" w:sz="1"/>
              <w:left w:val="single" w:color="DDDDDD" w:sz="1"/>
              <w:bottom w:val="single" w:color="DDDDDD" w:sz="1"/>
              <w:right w:val="single" w:color="DDDDDD" w:sz="1"/>
            </w:tcBorders>
            <w:shd w:fill="1A1A1A" w:val="clear"/>
            <w:tcMar>
              <w:top w:type="dxa" w:w="0"/>
              <w:left w:type="dxa" w:w="180"/>
              <w:bottom w:type="dxa" w:w="80"/>
              <w:right w:type="dxa" w:w="180"/>
            </w:tcMar>
          </w:tcPr>
          <w:p>
            <w:pPr>
              <w:jc w:val="center"/>
            </w:pPr>
            <w:r>
              <w:rPr>
                <w:rFonts w:ascii="Arial" w:cs="Arial" w:eastAsia="Arial" w:hAnsi="Arial"/>
                <w:b/>
                <w:bCs/>
                <w:color w:val="FFFFFF"/>
                <w:sz w:val="22"/>
                <w:szCs w:val="22"/>
              </w:rPr>
              <w:t xml:space="preserve">Cryptographically relevant scale</w:t>
            </w:r>
          </w:p>
        </w:tc>
      </w:tr>
      <w:tr>
        <w:tc>
          <w:tcPr>
            <w:tcW w:type="dxa" w:w="2880"/>
            <w:tcBorders>
              <w:top w:val="single" w:color="DDDDDD" w:sz="1"/>
              <w:left w:val="single" w:color="DDDDDD" w:sz="1"/>
              <w:bottom w:val="single" w:color="DDDDDD" w:sz="1"/>
              <w:right w:val="single" w:color="DDDDDD" w:sz="1"/>
            </w:tcBorders>
            <w:shd w:fill="E8E8E8" w:val="clear"/>
            <w:tcMar>
              <w:top w:type="dxa" w:w="80"/>
              <w:left w:type="dxa" w:w="180"/>
              <w:bottom w:type="dxa" w:w="140"/>
              <w:right w:type="dxa" w:w="180"/>
            </w:tcMar>
          </w:tcPr>
          <w:p>
            <w:pPr>
              <w:jc w:val="center"/>
            </w:pPr>
            <w:r>
              <w:rPr>
                <w:rFonts w:ascii="Arial" w:cs="Arial" w:eastAsia="Arial" w:hAnsi="Arial"/>
                <w:color w:val="666666"/>
                <w:sz w:val="19"/>
                <w:szCs w:val="19"/>
              </w:rPr>
              <w:t xml:space="preserve">Error rates too high for cryptographic attacks at any useful scale</w:t>
            </w:r>
          </w:p>
        </w:tc>
        <w:tc>
          <w:tcPr>
            <w:tcW w:type="dxa" w:w="2880"/>
            <w:tcBorders>
              <w:top w:val="single" w:color="DDDDDD" w:sz="1"/>
              <w:left w:val="single" w:color="DDDDDD" w:sz="1"/>
              <w:bottom w:val="single" w:color="DDDDDD" w:sz="1"/>
              <w:right w:val="single" w:color="DDDDDD" w:sz="1"/>
            </w:tcBorders>
            <w:shd w:fill="F0E8D8" w:val="clear"/>
            <w:tcMar>
              <w:top w:type="dxa" w:w="80"/>
              <w:left w:type="dxa" w:w="180"/>
              <w:bottom w:type="dxa" w:w="140"/>
              <w:right w:type="dxa" w:w="180"/>
            </w:tcMar>
          </w:tcPr>
          <w:p>
            <w:pPr>
              <w:jc w:val="center"/>
            </w:pPr>
            <w:r>
              <w:rPr>
                <w:rFonts w:ascii="Arial" w:cs="Arial" w:eastAsia="Arial" w:hAnsi="Arial"/>
                <w:color w:val="666666"/>
                <w:sz w:val="19"/>
                <w:szCs w:val="19"/>
              </w:rPr>
              <w:t xml:space="preserve">Scaling toward fault tolerance; quantum advantage in narrow domains</w:t>
            </w:r>
          </w:p>
        </w:tc>
        <w:tc>
          <w:tcPr>
            <w:tcW w:type="dxa" w:w="2880"/>
            <w:tcBorders>
              <w:top w:val="single" w:color="DDDDDD" w:sz="1"/>
              <w:left w:val="single" w:color="DDDDDD" w:sz="1"/>
              <w:bottom w:val="single" w:color="DDDDDD" w:sz="1"/>
              <w:right w:val="single" w:color="DDDDDD" w:sz="1"/>
            </w:tcBorders>
            <w:shd w:fill="1A1A1A" w:val="clear"/>
            <w:tcMar>
              <w:top w:type="dxa" w:w="80"/>
              <w:left w:type="dxa" w:w="180"/>
              <w:bottom w:type="dxa" w:w="140"/>
              <w:right w:type="dxa" w:w="180"/>
            </w:tcMar>
          </w:tcPr>
          <w:p>
            <w:pPr>
              <w:jc w:val="center"/>
            </w:pPr>
            <w:r>
              <w:rPr>
                <w:rFonts w:ascii="Arial" w:cs="Arial" w:eastAsia="Arial" w:hAnsi="Arial"/>
                <w:color w:val="CCCCCC"/>
                <w:sz w:val="19"/>
                <w:szCs w:val="19"/>
              </w:rPr>
              <w:t xml:space="preserve">Millions of stable logical qubits required to threaten ECDSA-256</w:t>
            </w:r>
          </w:p>
        </w:tc>
      </w:tr>
    </w:tbl>
    <w:p>
      <w:pPr>
        <w:spacing w:before="180" w:after="80"/>
      </w:pPr>
      <w:r>
        <w:t xml:space="preserve"/>
      </w:r>
    </w:p>
    <w:p>
      <w:pPr>
        <w:pBdr>
          <w:bottom w:val="single" w:color="1A3A5C" w:sz="4" w:space="4"/>
        </w:pBdr>
        <w:spacing w:before="360" w:after="100"/>
      </w:pPr>
      <w:r>
        <w:rPr>
          <w:rFonts w:ascii="Arial" w:cs="Arial" w:eastAsia="Arial" w:hAnsi="Arial"/>
          <w:b/>
          <w:bCs/>
          <w:color w:val="1A1A1A"/>
          <w:sz w:val="26"/>
          <w:szCs w:val="26"/>
        </w:rPr>
        <w:t xml:space="preserve">The Post-Quantum Response Is Already in Motion</w:t>
      </w:r>
    </w:p>
    <w:p>
      <w:pPr>
        <w:spacing w:before="100" w:after="180"/>
      </w:pPr>
      <w:r>
        <w:rPr>
          <w:rFonts w:ascii="Arial" w:cs="Arial" w:eastAsia="Arial" w:hAnsi="Arial"/>
          <w:color w:val="4A4A4A"/>
          <w:sz w:val="22"/>
          <w:szCs w:val="22"/>
        </w:rPr>
        <w:t xml:space="preserve">The cryptographic community has not been waiting for quantum hardware to mature before responding. NIST finalized its first set of post-quantum cryptographic standards in 2024, selecting algorithms—including CRYSTALS-Kyber for key encapsulation and CRYSTALS-Dilithium for digital signatures—specifically designed to resist both classical and quantum attacks. These standards are already being integrated into security protocols across finance, government, and critical infrastructure.</w:t>
      </w:r>
    </w:p>
    <w:p>
      <w:pPr>
        <w:spacing w:before="100" w:after="180"/>
      </w:pPr>
      <w:r>
        <w:rPr>
          <w:rFonts w:ascii="Arial" w:cs="Arial" w:eastAsia="Arial" w:hAnsi="Arial"/>
          <w:color w:val="4A4A4A"/>
          <w:sz w:val="22"/>
          <w:szCs w:val="22"/>
        </w:rPr>
        <w:t xml:space="preserve">Bitcoin’s cryptographic evolution is not unprecedented. The network has upgraded its signing mechanism before—the transition to Taproot in 2021 introduced Schnorr signatures, replacing ECDSA for new transaction types, and demonstrated the network’s capacity for coordinated cryptographic upgrades through consensus. A migration to a post-quantum signature scheme would be a significant undertaking, but it is a well-understood engineering problem with a clear roadmap, not an unsolved challenge.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A3A5C" w:sz="10"/>
              <w:bottom w:val="none" w:color="FFFFFF" w:sz="0"/>
              <w:right w:val="none" w:color="FFFFFF" w:sz="0"/>
            </w:tcBorders>
            <w:shd w:fill="EEF3F8" w:val="clear"/>
            <w:tcMar>
              <w:top w:type="dxa" w:w="160"/>
              <w:left w:type="dxa" w:w="200"/>
              <w:bottom w:type="dxa" w:w="160"/>
              <w:right w:type="dxa" w:w="200"/>
            </w:tcMar>
          </w:tcPr>
          <w:p>
            <w:pPr>
              <w:spacing w:before="0" w:after="60"/>
            </w:pPr>
            <w:r>
              <w:rPr>
                <w:rFonts w:ascii="Arial" w:cs="Arial" w:eastAsia="Arial" w:hAnsi="Arial"/>
                <w:b/>
                <w:bCs/>
                <w:color w:val="1A3A5C"/>
                <w:sz w:val="20"/>
                <w:szCs w:val="20"/>
              </w:rPr>
              <w:t xml:space="preserve">QUANTUM CORE INSTITUTE — CONTEXT</w:t>
            </w:r>
          </w:p>
          <w:p>
            <w:pPr>
              <w:spacing w:before="0" w:after="0"/>
            </w:pPr>
            <w:r>
              <w:rPr>
                <w:rFonts w:ascii="Arial" w:cs="Arial" w:eastAsia="Arial" w:hAnsi="Arial"/>
                <w:color w:val="4A4A4A"/>
                <w:sz w:val="21"/>
                <w:szCs w:val="21"/>
              </w:rPr>
              <w:t xml:space="preserve">The Quantum Core Institute works at the intersection of post-quantum cryptography, quantum-resistant protocol design, and enterprise security preparedness. The migration challenge for Bitcoin and other cryptographic systems is not primarily a hardware problem—it is a coordination and implementation problem. The cryptographic tools exist. The question is how networks, wallets, and infrastructure providers organize a migration before the threat window opens. That preparation is more tractable than the headlines suggest, and it is actively underway across the industry.</w:t>
            </w:r>
          </w:p>
        </w:tc>
      </w:tr>
    </w:tbl>
    <w:p>
      <w:pPr>
        <w:spacing w:before="180" w:after="80"/>
      </w:pPr>
      <w:r>
        <w:t xml:space="preserve"/>
      </w:r>
    </w:p>
    <w:p>
      <w:pPr>
        <w:pBdr>
          <w:bottom w:val="single" w:color="E8500A" w:sz="4" w:space="4"/>
        </w:pBdr>
        <w:spacing w:before="360" w:after="100"/>
      </w:pPr>
      <w:r>
        <w:rPr>
          <w:rFonts w:ascii="Arial" w:cs="Arial" w:eastAsia="Arial" w:hAnsi="Arial"/>
          <w:b/>
          <w:bCs/>
          <w:color w:val="1A1A1A"/>
          <w:sz w:val="26"/>
          <w:szCs w:val="26"/>
        </w:rPr>
        <w:t xml:space="preserve">What This Actually Means for Bitcoin Mining Operations</w:t>
      </w:r>
    </w:p>
    <w:p>
      <w:pPr>
        <w:spacing w:before="100" w:after="180"/>
      </w:pPr>
      <w:r>
        <w:rPr>
          <w:rFonts w:ascii="Arial" w:cs="Arial" w:eastAsia="Arial" w:hAnsi="Arial"/>
          <w:color w:val="4A4A4A"/>
          <w:sz w:val="22"/>
          <w:szCs w:val="22"/>
        </w:rPr>
        <w:t xml:space="preserve">For operators and miners evaluating gas-to-hash deployments today, the quantum question does not change the investment calculus in any material way. SHA-256’s quantum resistance means that the proof-of-work mechanism underpinning mining revenue is not under credible near-term threat. The hardware, the economics, and the operational case for on-lease Bitcoin mining are unaffected by the quantum timeline.</w:t>
      </w:r>
    </w:p>
    <w:p>
      <w:pPr>
        <w:spacing w:before="100" w:after="180"/>
      </w:pPr>
      <w:r>
        <w:rPr>
          <w:rFonts w:ascii="Arial" w:cs="Arial" w:eastAsia="Arial" w:hAnsi="Arial"/>
          <w:color w:val="4A4A4A"/>
          <w:sz w:val="22"/>
          <w:szCs w:val="22"/>
        </w:rPr>
        <w:t xml:space="preserve">The longer-horizon consideration—ECDSA vulnerability for wallet addresses—is a custodial practice question, not an operational one. Miners and investors who move Bitcoin promptly to fresh addresses and avoid address reuse eliminate most of their practical exposure. This is good practice regardless of quantum considerations.</w:t>
      </w:r>
    </w:p>
    <w:p>
      <w:pPr>
        <w:spacing w:before="100" w:after="180"/>
      </w:pPr>
      <w:r>
        <w:rPr>
          <w:rFonts w:ascii="Arial" w:cs="Arial" w:eastAsia="Arial" w:hAnsi="Arial"/>
          <w:color w:val="1A1A1A"/>
          <w:sz w:val="22"/>
          <w:szCs w:val="22"/>
        </w:rPr>
        <w:t xml:space="preserve">The narrative that quantum computing makes Bitcoin mining a bad investment is not supported by the technical evidence. What the evidence does support is the importance of cryptographic preparedness across the industry—and the value of having organizations that understand both sides of the ledger: the operational reality of Bitcoin mining and the post-quantum security landscape. That is an unusual combination, and it is the basis for this piece.</w:t>
      </w:r>
    </w:p>
    <w:p>
      <w:pPr>
        <w:spacing w:before="180" w:after="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1A1A1A" w:val="clear"/>
            <w:tcMar>
              <w:top w:type="dxa" w:w="240"/>
              <w:left w:type="dxa" w:w="320"/>
              <w:bottom w:type="dxa" w:w="240"/>
              <w:right w:type="dxa" w:w="320"/>
            </w:tcMar>
          </w:tcPr>
          <w:p>
            <w:pPr>
              <w:spacing w:before="0" w:after="80"/>
              <w:jc w:val="center"/>
            </w:pPr>
            <w:r>
              <w:rPr>
                <w:rFonts w:ascii="Arial" w:cs="Arial" w:eastAsia="Arial" w:hAnsi="Arial"/>
                <w:b/>
                <w:bCs/>
                <w:color w:val="FFFFFF"/>
                <w:sz w:val="25"/>
                <w:szCs w:val="25"/>
              </w:rPr>
              <w:t xml:space="preserve">Interested in gas-to-hash deployment?</w:t>
            </w:r>
          </w:p>
          <w:p>
            <w:pPr>
              <w:spacing w:before="0" w:after="100"/>
              <w:jc w:val="center"/>
            </w:pPr>
            <w:r>
              <w:rPr>
                <w:rFonts w:ascii="Arial" w:cs="Arial" w:eastAsia="Arial" w:hAnsi="Arial"/>
                <w:color w:val="BBBBBB"/>
                <w:sz w:val="20"/>
                <w:szCs w:val="20"/>
              </w:rPr>
              <w:t xml:space="preserve">MCF.digital operates on-lease Bitcoin mining systems at stranded and flare gas sites. The cryptography evolves. The economics of converting your gas to revenue are available today.</w:t>
            </w:r>
          </w:p>
          <w:p>
            <w:pPr>
              <w:spacing w:before="0" w:after="0"/>
              <w:jc w:val="center"/>
            </w:pPr>
            <w:r>
              <w:rPr>
                <w:rFonts w:ascii="Arial" w:cs="Arial" w:eastAsia="Arial" w:hAnsi="Arial"/>
                <w:b/>
                <w:bCs/>
                <w:color w:val="E8500A"/>
                <w:sz w:val="22"/>
                <w:szCs w:val="22"/>
              </w:rPr>
              <w:t xml:space="preserve">mcf.digital/flare-site-operators</w:t>
            </w:r>
            <w:r>
              <w:rPr>
                <w:rFonts w:ascii="Arial" w:cs="Arial" w:eastAsia="Arial" w:hAnsi="Arial"/>
                <w:color w:val="E8500A"/>
                <w:sz w:val="20"/>
                <w:szCs w:val="20"/>
              </w:rPr>
              <w:t xml:space="preserve">   ·   Book a 15-minute fit call</w:t>
            </w:r>
          </w:p>
        </w:tc>
      </w:tr>
    </w:tbl>
    <w:p>
      <w:pPr>
        <w:spacing w:before="200" w:after="80"/>
      </w:pPr>
      <w:r>
        <w:t xml:space="preserve"/>
      </w:r>
    </w:p>
    <w:p>
      <w:pPr>
        <w:pBdr>
          <w:top w:val="single" w:color="DDDDDD" w:sz="4" w:space="4"/>
        </w:pBdr>
        <w:spacing w:before="0" w:after="0"/>
      </w:pPr>
      <w:r>
        <w:t xml:space="preserve"/>
      </w:r>
    </w:p>
    <w:p>
      <w:pPr>
        <w:spacing w:before="80" w:after="40"/>
      </w:pPr>
      <w:r>
        <w:t xml:space="preserve"/>
      </w:r>
    </w:p>
    <w:p>
      <w:pPr>
        <w:spacing w:before="0" w:after="60"/>
      </w:pPr>
      <w:r>
        <w:rPr>
          <w:rFonts w:ascii="Arial" w:cs="Arial" w:eastAsia="Arial" w:hAnsi="Arial"/>
          <w:b/>
          <w:bCs/>
          <w:color w:val="1A1A1A"/>
          <w:sz w:val="20"/>
          <w:szCs w:val="20"/>
        </w:rPr>
        <w:t xml:space="preserve">Related Reading</w:t>
      </w:r>
    </w:p>
    <w:p>
      <w:pPr>
        <w:pStyle w:val="ListParagraph"/>
        <w:numPr>
          <w:ilvl w:val="0"/>
          <w:numId w:val="2"/>
        </w:numPr>
        <w:spacing w:before="40" w:after="40"/>
      </w:pPr>
      <w:r>
        <w:rPr>
          <w:rFonts w:ascii="Arial" w:cs="Arial" w:eastAsia="Arial" w:hAnsi="Arial"/>
          <w:color w:val="666666"/>
          <w:sz w:val="20"/>
          <w:szCs w:val="20"/>
        </w:rPr>
        <w:t xml:space="preserve">Gas-to-Hash: What It Means and How It Works — mcf.digital/glossary/gas-to-hash</w:t>
      </w:r>
    </w:p>
    <w:p>
      <w:pPr>
        <w:pStyle w:val="ListParagraph"/>
        <w:numPr>
          <w:ilvl w:val="0"/>
          <w:numId w:val="2"/>
        </w:numPr>
        <w:spacing w:before="40" w:after="40"/>
      </w:pPr>
      <w:r>
        <w:rPr>
          <w:rFonts w:ascii="Arial" w:cs="Arial" w:eastAsia="Arial" w:hAnsi="Arial"/>
          <w:color w:val="666666"/>
          <w:sz w:val="20"/>
          <w:szCs w:val="20"/>
        </w:rPr>
        <w:t xml:space="preserve">What Is Hashprice? — mcf.digital/glossary/what-is-hashprice</w:t>
      </w:r>
    </w:p>
    <w:p>
      <w:pPr>
        <w:pStyle w:val="ListParagraph"/>
        <w:numPr>
          <w:ilvl w:val="0"/>
          <w:numId w:val="2"/>
        </w:numPr>
        <w:spacing w:before="40" w:after="40"/>
      </w:pPr>
      <w:r>
        <w:rPr>
          <w:rFonts w:ascii="Arial" w:cs="Arial" w:eastAsia="Arial" w:hAnsi="Arial"/>
          <w:color w:val="666666"/>
          <w:sz w:val="20"/>
          <w:szCs w:val="20"/>
        </w:rPr>
        <w:t xml:space="preserve">The Complete Guide to Flare Gas Bitcoin Mining — mcf.digital/guides/complete-guide-flare-gas-bitcoin-mining</w:t>
      </w:r>
    </w:p>
    <w:p>
      <w:pPr>
        <w:pStyle w:val="ListParagraph"/>
        <w:numPr>
          <w:ilvl w:val="0"/>
          <w:numId w:val="2"/>
        </w:numPr>
        <w:spacing w:before="40" w:after="40"/>
      </w:pPr>
      <w:r>
        <w:rPr>
          <w:rFonts w:ascii="Arial" w:cs="Arial" w:eastAsia="Arial" w:hAnsi="Arial"/>
          <w:color w:val="1A3A5C"/>
          <w:sz w:val="20"/>
          <w:szCs w:val="20"/>
        </w:rPr>
        <w:t xml:space="preserve">Quantum Core Institute — Post-Quantum Cryptography Research and Enterprise Preparedness</w:t>
      </w:r>
    </w:p>
    <w:p>
      <w:pPr>
        <w:spacing w:before="100" w:after="60"/>
      </w:pPr>
      <w:r>
        <w:t xml:space="preserve"/>
      </w:r>
    </w:p>
    <w:p>
      <w:pPr>
        <w:spacing w:before="0" w:after="0"/>
      </w:pPr>
      <w:r>
        <w:rPr>
          <w:rFonts w:ascii="Arial" w:cs="Arial" w:eastAsia="Arial" w:hAnsi="Arial"/>
          <w:b/>
          <w:bCs/>
          <w:color w:val="1A1A1A"/>
          <w:sz w:val="19"/>
          <w:szCs w:val="19"/>
        </w:rPr>
        <w:t xml:space="preserve">MCF.digital</w:t>
      </w:r>
      <w:r>
        <w:rPr>
          <w:rFonts w:ascii="Arial" w:cs="Arial" w:eastAsia="Arial" w:hAnsi="Arial"/>
          <w:color w:val="999999"/>
          <w:sz w:val="18"/>
          <w:szCs w:val="18"/>
        </w:rPr>
        <w:t xml:space="preserve">  ·  On-Lease Bitcoin Mining  ·  Flare Gas Monetization  ·  Gas-to-Hash Operator</w:t>
      </w:r>
    </w:p>
    <w:p>
      <w:pPr>
        <w:spacing w:before="20" w:after="0"/>
      </w:pPr>
      <w:r>
        <w:rPr>
          <w:rFonts w:ascii="Arial" w:cs="Arial" w:eastAsia="Arial" w:hAnsi="Arial"/>
          <w:color w:val="999999"/>
          <w:sz w:val="18"/>
          <w:szCs w:val="18"/>
        </w:rPr>
        <w:t xml:space="preserve">In partnership with the </w:t>
      </w:r>
      <w:r>
        <w:rPr>
          <w:rFonts w:ascii="Arial" w:cs="Arial" w:eastAsia="Arial" w:hAnsi="Arial"/>
          <w:b/>
          <w:bCs/>
          <w:color w:val="1A3A5C"/>
          <w:sz w:val="18"/>
          <w:szCs w:val="18"/>
        </w:rPr>
        <w:t xml:space="preserve">Quantum Core Institute</w:t>
      </w:r>
      <w:r>
        <w:rPr>
          <w:rFonts w:ascii="Arial" w:cs="Arial" w:eastAsia="Arial" w:hAnsi="Arial"/>
          <w:color w:val="999999"/>
          <w:sz w:val="18"/>
          <w:szCs w:val="18"/>
        </w:rPr>
        <w:t xml:space="preserve">  ·  Post-Quantum Cryptography Research</w:t>
      </w:r>
    </w:p>
    <w:p>
      <w:pPr>
        <w:spacing w:before="40" w:after="0"/>
      </w:pPr>
      <w:r>
        <w:rPr>
          <w:rFonts w:ascii="Arial" w:cs="Arial" w:eastAsia="Arial" w:hAnsi="Arial"/>
          <w:color w:val="BBBBBB"/>
          <w:sz w:val="16"/>
          <w:szCs w:val="16"/>
        </w:rPr>
        <w:t xml:space="preserve">Audience: All  ·  Category: Thought Leadership  ·  mcf.digital/articles/quantum-computing-bitcoin-mining</w:t>
      </w:r>
    </w:p>
    <w:sectPr>
      <w:headerReference w:type="default" r:id="rId6"/>
      <w:footerReference w:type="default" r:id="rId7"/>
      <w:pgSz w:w="12240" w:h="15840" w:orient="portrait"/>
      <w:pgMar w:top="1080" w:right="1980" w:bottom="1080" w:left="1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828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mcf.digital/articles/quantum-computing-bitcoin-mining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THOUGHT LEADERSHIP  |  What the Quantum Revolution Means for Bitcoin Mining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2026-02-27T12:12:24.182Z</dcterms:created>
  <dcterms:modified xsi:type="dcterms:W3CDTF">2026-02-27T12:12:24.183Z</dcterms:modified>
</cp:coreProperties>
</file>

<file path=docProps/custom.xml><?xml version="1.0" encoding="utf-8"?>
<Properties xmlns="http://schemas.openxmlformats.org/officeDocument/2006/custom-properties" xmlns:vt="http://schemas.openxmlformats.org/officeDocument/2006/docPropsVTypes"/>
</file>