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0"/>
      </w:pPr>
      <w:r>
        <w:t xml:space="preserve"/>
      </w:r>
    </w:p>
    <w:p>
      <w:pPr>
        <w:spacing w:before="0" w:after="80"/>
        <w:jc w:val="left"/>
      </w:pPr>
      <w:r>
        <w:rPr>
          <w:rFonts w:ascii="Arial" w:cs="Arial" w:eastAsia="Arial" w:hAnsi="Arial"/>
          <w:b/>
          <w:bCs/>
          <w:color w:val="F97316"/>
          <w:sz w:val="64"/>
          <w:szCs w:val="64"/>
        </w:rPr>
        <w:t xml:space="preserve">MCF.DIGITAL</w:t>
      </w:r>
    </w:p>
    <w:p>
      <w:pPr>
        <w:spacing w:before="0" w:after="600"/>
        <w:jc w:val="left"/>
      </w:pPr>
      <w:r>
        <w:rPr>
          <w:rFonts w:ascii="Arial" w:cs="Arial" w:eastAsia="Arial" w:hAnsi="Arial"/>
          <w:color w:val="4A4A4A"/>
          <w:sz w:val="22"/>
          <w:szCs w:val="22"/>
        </w:rPr>
        <w:t xml:space="preserve">White Paper  ·  WP-1  ·  2026</w:t>
      </w:r>
    </w:p>
    <w:p>
      <w:pPr>
        <w:spacing w:before="0" w:after="200"/>
        <w:jc w:val="left"/>
      </w:pPr>
      <w:r>
        <w:rPr>
          <w:rFonts w:ascii="Arial" w:cs="Arial" w:eastAsia="Arial" w:hAnsi="Arial"/>
          <w:b/>
          <w:bCs/>
          <w:color w:val="0A0A0A"/>
          <w:sz w:val="56"/>
          <w:szCs w:val="56"/>
        </w:rPr>
        <w:t xml:space="preserve">Flare → Bitcoin Blueprint</w:t>
      </w:r>
    </w:p>
    <w:p>
      <w:pPr>
        <w:spacing w:before="0" w:after="600"/>
        <w:jc w:val="left"/>
      </w:pPr>
      <w:r>
        <w:rPr>
          <w:rFonts w:ascii="Arial" w:cs="Arial" w:eastAsia="Arial" w:hAnsi="Arial"/>
          <w:color w:val="4A4A4A"/>
          <w:sz w:val="28"/>
          <w:szCs w:val="28"/>
        </w:rPr>
        <w:t xml:space="preserve">A Field Operator’s Guide to Converting Flare Gas Into Bitcoin Revenue</w:t>
      </w:r>
    </w:p>
    <w:p>
      <w:pPr>
        <w:pBdr>
          <w:bottom w:val="single" w:color="F97316" w:sz="4"/>
        </w:pBdr>
        <w:spacing w:before="0" w:after="240"/>
      </w:pPr>
      <w:r>
        <w:t xml:space="preserve"/>
      </w:r>
    </w:p>
    <w:p>
      <w:pPr>
        <w:spacing w:before="0" w:after="200"/>
      </w:pPr>
      <w:r>
        <w:t xml:space="preserve"/>
      </w:r>
    </w:p>
    <w:p>
      <w:pPr>
        <w:spacing w:before="0" w:after="1200"/>
        <w:jc w:val="left"/>
      </w:pPr>
      <w:r>
        <w:rPr>
          <w:rFonts w:ascii="Arial" w:cs="Arial" w:eastAsia="Arial" w:hAnsi="Arial"/>
          <w:color w:val="4A4A4A"/>
          <w:sz w:val="22"/>
          <w:szCs w:val="22"/>
        </w:rPr>
        <w:t xml:space="preserve">Feasibility Framework  ·  Pro Forma Financial Model  ·  Deployment Timeline  ·  Regulatory Checklist</w:t>
      </w:r>
    </w:p>
    <w:p>
      <w:pPr>
        <w:spacing w:before="0" w:after="80"/>
      </w:pPr>
      <w:r>
        <w:rPr>
          <w:rFonts w:ascii="Arial" w:cs="Arial" w:eastAsia="Arial" w:hAnsi="Arial"/>
          <w:color w:val="1A1A1A"/>
          <w:sz w:val="22"/>
          <w:szCs w:val="22"/>
        </w:rPr>
        <w:t xml:space="preserve">For operators, engineers, and field teams evaluating on-lease gas monetization.</w:t>
      </w:r>
    </w:p>
    <w:p>
      <w:pPr>
        <w:spacing w:before="0" w:after="0"/>
      </w:pPr>
      <w:r>
        <w:rPr>
          <w:rFonts w:ascii="Arial" w:cs="Arial" w:eastAsia="Arial" w:hAnsi="Arial"/>
          <w:color w:val="F97316"/>
          <w:sz w:val="22"/>
          <w:szCs w:val="22"/>
        </w:rPr>
        <w:t xml:space="preserve">tools.mcf.digital  ·  mcf.digital</w:t>
      </w:r>
    </w:p>
    <w:p>
      <w:pPr>
        <w:spacing w:before="0" w:after="0"/>
      </w:pPr>
      <w:r>
        <w:br w:type="page"/>
      </w:r>
    </w:p>
    <w:p>
      <w:pPr>
        <w:pStyle w:val="Heading1"/>
        <w:pBdr>
          <w:bottom w:val="single" w:color="F97316" w:sz="3"/>
        </w:pBdr>
        <w:spacing w:before="400" w:after="160"/>
      </w:pPr>
      <w:r>
        <w:rPr>
          <w:rFonts w:ascii="Arial" w:cs="Arial" w:eastAsia="Arial" w:hAnsi="Arial"/>
          <w:b/>
          <w:bCs/>
          <w:color w:val="0A0A0A"/>
          <w:sz w:val="28"/>
          <w:szCs w:val="28"/>
        </w:rPr>
        <w:t xml:space="preserve">Executive Summary</w:t>
      </w:r>
    </w:p>
    <w:p>
      <w:pPr>
        <w:spacing w:before="0" w:after="180"/>
        <w:jc w:val="left"/>
      </w:pPr>
      <w:r>
        <w:rPr>
          <w:rFonts w:ascii="Arial" w:cs="Arial" w:eastAsia="Arial" w:hAnsi="Arial"/>
          <w:b w:val="false"/>
          <w:bCs w:val="false"/>
          <w:color w:val="4A4A4A"/>
          <w:sz w:val="22"/>
          <w:szCs w:val="22"/>
        </w:rPr>
        <w:t xml:space="preserve">Routine gas flaring is simultaneously a regulatory liability, an economic leak, and an increasingly visible ESG problem. In 2023 alone, approximately 148 billion cubic meters of natural gas were flared globally—equivalent to the combined gas consumption of Central and South America. In the United States, the Permian Basin alone accounts for roughly 400 million cubic feet per day of flared gas, representing hundreds of millions of dollars in annual lost revenue for operators.</w:t>
      </w:r>
    </w:p>
    <w:p>
      <w:pPr>
        <w:spacing w:before="0" w:after="180"/>
        <w:jc w:val="left"/>
      </w:pPr>
      <w:r>
        <w:rPr>
          <w:rFonts w:ascii="Arial" w:cs="Arial" w:eastAsia="Arial" w:hAnsi="Arial"/>
          <w:b w:val="false"/>
          <w:bCs w:val="false"/>
          <w:color w:val="4A4A4A"/>
          <w:sz w:val="22"/>
          <w:szCs w:val="22"/>
        </w:rPr>
        <w:t xml:space="preserve">MCF.digital’s on-lease power-and-compute model converts that waste stream into Bitcoin production. This white paper provides the complete operator’s framework for evaluating, structuring, and deploying a gas-to-hash system at a flaring pad: from initial feasibility screening through regulatory compliance, pro forma economics, deployment sequence, and ongoing operations.</w:t>
      </w:r>
    </w:p>
    <w:p>
      <w:pPr>
        <w:spacing w:before="0" w:after="180"/>
        <w:jc w:val="left"/>
      </w:pPr>
      <w:r>
        <w:rPr>
          <w:rFonts w:ascii="Arial" w:cs="Arial" w:eastAsia="Arial" w:hAnsi="Arial"/>
          <w:b w:val="false"/>
          <w:bCs w:val="false"/>
          <w:color w:val="4A4A4A"/>
          <w:sz w:val="22"/>
          <w:szCs w:val="22"/>
        </w:rPr>
        <w:t xml:space="preserve">The opportunity is structural, not speculative. Whether Bitcoin is at $50,000 or $150,000, an operator’s flare gas has intrinsic value—and on-lease deployment captures that value without a pipeline, without a midstream contract, and without putting Bitcoin on the corporate balance sheet.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thick" w:color="F97316" w:sz="8"/>
              <w:left w:val="thick" w:color="F97316" w:sz="8"/>
              <w:bottom w:val="single" w:color="E0E0E0" w:sz="1"/>
              <w:right w:val="single" w:color="E0E0E0" w:sz="1"/>
            </w:tcBorders>
            <w:shd w:fill="FFF7ED" w:val="clear"/>
            <w:tcMar>
              <w:top w:type="dxa" w:w="120"/>
              <w:left w:type="dxa" w:w="200"/>
              <w:bottom w:type="dxa" w:w="120"/>
              <w:right w:type="dxa" w:w="200"/>
            </w:tcMar>
          </w:tcPr>
          <w:p>
            <w:pPr>
              <w:spacing w:before="0" w:after="60"/>
            </w:pPr>
            <w:r>
              <w:rPr>
                <w:rFonts w:ascii="Arial" w:cs="Arial" w:eastAsia="Arial" w:hAnsi="Arial"/>
                <w:b/>
                <w:bCs/>
                <w:color w:val="F97316"/>
                <w:sz w:val="20"/>
                <w:szCs w:val="20"/>
              </w:rPr>
              <w:t xml:space="preserve">Key Takeaway</w:t>
            </w:r>
          </w:p>
          <w:p>
            <w:pPr>
              <w:spacing w:before="0" w:after="0"/>
            </w:pPr>
            <w:r>
              <w:rPr>
                <w:rFonts w:ascii="Arial" w:cs="Arial" w:eastAsia="Arial" w:hAnsi="Arial"/>
                <w:color w:val="1A1A1A"/>
                <w:sz w:val="21"/>
                <w:szCs w:val="21"/>
              </w:rPr>
              <w:t xml:space="preserve">A typical Permian flare site producing 300 Mcf/day of associated gas can generate $8,000–$22,000 per month in incremental revenue from an on-lease deployment, while eliminating flaring compliance exposure. Capital payback on the deployment ranges from 6 to 18 months depending on deal structure.</w:t>
            </w:r>
          </w:p>
        </w:tc>
      </w:tr>
    </w:tbl>
    <w:p>
      <w:pPr>
        <w:pStyle w:val="Heading1"/>
        <w:pBdr>
          <w:bottom w:val="single" w:color="F97316" w:sz="3"/>
        </w:pBdr>
        <w:spacing w:before="400" w:after="160"/>
      </w:pPr>
      <w:r>
        <w:rPr>
          <w:rFonts w:ascii="Arial" w:cs="Arial" w:eastAsia="Arial" w:hAnsi="Arial"/>
          <w:b/>
          <w:bCs/>
          <w:color w:val="0A0A0A"/>
          <w:sz w:val="28"/>
          <w:szCs w:val="28"/>
        </w:rPr>
        <w:t xml:space="preserve">1. The Flaring Problem: Scale, Cost, and Regulatory Trajectory</w:t>
      </w:r>
    </w:p>
    <w:p>
      <w:pPr>
        <w:pStyle w:val="Heading2"/>
        <w:spacing w:before="280" w:after="120"/>
      </w:pPr>
      <w:r>
        <w:rPr>
          <w:rFonts w:ascii="Arial" w:cs="Arial" w:eastAsia="Arial" w:hAnsi="Arial"/>
          <w:b/>
          <w:bCs/>
          <w:color w:val="1A1A1A"/>
          <w:sz w:val="24"/>
          <w:szCs w:val="24"/>
        </w:rPr>
        <w:t xml:space="preserve">1.1 Global and U.S. Flaring Scale</w:t>
      </w:r>
    </w:p>
    <w:p>
      <w:pPr>
        <w:spacing w:before="0" w:after="180"/>
        <w:jc w:val="left"/>
      </w:pPr>
      <w:r>
        <w:rPr>
          <w:rFonts w:ascii="Arial" w:cs="Arial" w:eastAsia="Arial" w:hAnsi="Arial"/>
          <w:b w:val="false"/>
          <w:bCs w:val="false"/>
          <w:color w:val="4A4A4A"/>
          <w:sz w:val="22"/>
          <w:szCs w:val="22"/>
        </w:rPr>
        <w:t xml:space="preserve">According to the World Bank’s Global Gas Flaring Tracker, global flaring volumes have remained stubbornly high despite decades of pledges and programs. In 2023, 148 BCM were flared worldwide—enough gas to power all of sub-Saharan Africa for a year. The United States ranked third globally by volume, with approximately 7.5 BCM flared.</w:t>
      </w:r>
    </w:p>
    <w:p>
      <w:pPr>
        <w:spacing w:before="0" w:after="180"/>
        <w:jc w:val="left"/>
      </w:pPr>
      <w:r>
        <w:rPr>
          <w:rFonts w:ascii="Arial" w:cs="Arial" w:eastAsia="Arial" w:hAnsi="Arial"/>
          <w:b w:val="false"/>
          <w:bCs w:val="false"/>
          <w:color w:val="4A4A4A"/>
          <w:sz w:val="22"/>
          <w:szCs w:val="22"/>
        </w:rPr>
        <w:t xml:space="preserve">Within the U.S., flaring is concentrated in a handful of oil-weighted basins where associated gas production outpaces pipeline infrastructure:</w:t>
      </w:r>
    </w:p>
    <w:p>
      <w:pPr>
        <w:pStyle w:val="ListParagraph"/>
        <w:numPr>
          <w:ilvl w:val="0"/>
          <w:numId w:val="2"/>
        </w:numPr>
        <w:spacing w:before="0" w:after="120"/>
      </w:pPr>
      <w:r>
        <w:rPr>
          <w:rFonts w:ascii="Arial" w:cs="Arial" w:eastAsia="Arial" w:hAnsi="Arial"/>
          <w:color w:val="4A4A4A"/>
          <w:sz w:val="22"/>
          <w:szCs w:val="22"/>
        </w:rPr>
        <w:t xml:space="preserve">Permian Basin (TX/NM): ~400–500 MMcf/d flared; largest single flaring source in the U.S.</w:t>
      </w:r>
    </w:p>
    <w:p>
      <w:pPr>
        <w:pStyle w:val="ListParagraph"/>
        <w:numPr>
          <w:ilvl w:val="0"/>
          <w:numId w:val="2"/>
        </w:numPr>
        <w:spacing w:before="0" w:after="120"/>
      </w:pPr>
      <w:r>
        <w:rPr>
          <w:rFonts w:ascii="Arial" w:cs="Arial" w:eastAsia="Arial" w:hAnsi="Arial"/>
          <w:color w:val="4A4A4A"/>
          <w:sz w:val="22"/>
          <w:szCs w:val="22"/>
        </w:rPr>
        <w:t xml:space="preserve">Bakken (ND): Historically the highest flaring rate by percentage; improvement under NDIC pressure but still significant volumes</w:t>
      </w:r>
    </w:p>
    <w:p>
      <w:pPr>
        <w:pStyle w:val="ListParagraph"/>
        <w:numPr>
          <w:ilvl w:val="0"/>
          <w:numId w:val="2"/>
        </w:numPr>
        <w:spacing w:before="0" w:after="120"/>
      </w:pPr>
      <w:r>
        <w:rPr>
          <w:rFonts w:ascii="Arial" w:cs="Arial" w:eastAsia="Arial" w:hAnsi="Arial"/>
          <w:color w:val="4A4A4A"/>
          <w:sz w:val="22"/>
          <w:szCs w:val="22"/>
        </w:rPr>
        <w:t xml:space="preserve">Eagle Ford (TX): Oil-weighted associated gas, moderate flaring volumes</w:t>
      </w:r>
    </w:p>
    <w:p>
      <w:pPr>
        <w:pStyle w:val="ListParagraph"/>
        <w:numPr>
          <w:ilvl w:val="0"/>
          <w:numId w:val="2"/>
        </w:numPr>
        <w:spacing w:before="0" w:after="120"/>
      </w:pPr>
      <w:r>
        <w:rPr>
          <w:rFonts w:ascii="Arial" w:cs="Arial" w:eastAsia="Arial" w:hAnsi="Arial"/>
          <w:color w:val="4A4A4A"/>
          <w:sz w:val="22"/>
          <w:szCs w:val="22"/>
        </w:rPr>
        <w:t xml:space="preserve">DJ Basin (CO): Near-1% flaring rate due to aggressive state regulation, but curtailed gas problem persists</w:t>
      </w:r>
    </w:p>
    <w:p>
      <w:pPr>
        <w:pStyle w:val="ListParagraph"/>
        <w:numPr>
          <w:ilvl w:val="0"/>
          <w:numId w:val="2"/>
        </w:numPr>
        <w:spacing w:before="0" w:after="120"/>
      </w:pPr>
      <w:r>
        <w:rPr>
          <w:rFonts w:ascii="Arial" w:cs="Arial" w:eastAsia="Arial" w:hAnsi="Arial"/>
          <w:color w:val="4A4A4A"/>
          <w:sz w:val="22"/>
          <w:szCs w:val="22"/>
        </w:rPr>
        <w:t xml:space="preserve">Appalachian (WV/PA): Lower flaring rates but growing stranded volumes from low netbacks</w:t>
      </w:r>
    </w:p>
    <w:p>
      <w:pPr>
        <w:spacing w:before="0" w:after="80"/>
      </w:pPr>
      <w:r>
        <w:t xml:space="preserve"/>
      </w:r>
    </w:p>
    <w:p>
      <w:pPr>
        <w:pStyle w:val="Heading2"/>
        <w:spacing w:before="280" w:after="120"/>
      </w:pPr>
      <w:r>
        <w:rPr>
          <w:rFonts w:ascii="Arial" w:cs="Arial" w:eastAsia="Arial" w:hAnsi="Arial"/>
          <w:b/>
          <w:bCs/>
          <w:color w:val="1A1A1A"/>
          <w:sz w:val="24"/>
          <w:szCs w:val="24"/>
        </w:rPr>
        <w:t xml:space="preserve">1.2 The Operator’s Dilemma</w:t>
      </w:r>
    </w:p>
    <w:p>
      <w:pPr>
        <w:spacing w:before="0" w:after="180"/>
        <w:jc w:val="left"/>
      </w:pPr>
      <w:r>
        <w:rPr>
          <w:rFonts w:ascii="Arial" w:cs="Arial" w:eastAsia="Arial" w:hAnsi="Arial"/>
          <w:b w:val="false"/>
          <w:bCs w:val="false"/>
          <w:color w:val="4A4A4A"/>
          <w:sz w:val="22"/>
          <w:szCs w:val="22"/>
        </w:rPr>
        <w:t xml:space="preserve">For an operator with a flaring pad, the choices are typically:</w:t>
      </w:r>
    </w:p>
    <w:p>
      <w:pPr>
        <w:pStyle w:val="ListParagraph"/>
        <w:numPr>
          <w:ilvl w:val="0"/>
          <w:numId w:val="3"/>
        </w:numPr>
        <w:spacing w:before="0" w:after="120"/>
      </w:pPr>
      <w:r>
        <w:rPr>
          <w:rFonts w:ascii="Arial" w:cs="Arial" w:eastAsia="Arial" w:hAnsi="Arial"/>
          <w:color w:val="4A4A4A"/>
          <w:sz w:val="22"/>
          <w:szCs w:val="22"/>
        </w:rPr>
        <w:t xml:space="preserve">Flare and pay fines — accept regulatory exposure and potential permit revocation</w:t>
      </w:r>
    </w:p>
    <w:p>
      <w:pPr>
        <w:pStyle w:val="ListParagraph"/>
        <w:numPr>
          <w:ilvl w:val="0"/>
          <w:numId w:val="3"/>
        </w:numPr>
        <w:spacing w:before="0" w:after="120"/>
      </w:pPr>
      <w:r>
        <w:rPr>
          <w:rFonts w:ascii="Arial" w:cs="Arial" w:eastAsia="Arial" w:hAnsi="Arial"/>
          <w:color w:val="4A4A4A"/>
          <w:sz w:val="22"/>
          <w:szCs w:val="22"/>
        </w:rPr>
        <w:t xml:space="preserve">Shut in the well — sacrifice oil production to avoid the associated gas problem</w:t>
      </w:r>
    </w:p>
    <w:p>
      <w:pPr>
        <w:pStyle w:val="ListParagraph"/>
        <w:numPr>
          <w:ilvl w:val="0"/>
          <w:numId w:val="3"/>
        </w:numPr>
        <w:spacing w:before="0" w:after="120"/>
      </w:pPr>
      <w:r>
        <w:rPr>
          <w:rFonts w:ascii="Arial" w:cs="Arial" w:eastAsia="Arial" w:hAnsi="Arial"/>
          <w:color w:val="4A4A4A"/>
          <w:sz w:val="22"/>
          <w:szCs w:val="22"/>
        </w:rPr>
        <w:t xml:space="preserve">Build pipeline infrastructure — capital-intensive, time-consuming, often uneconomic for marginal pads</w:t>
      </w:r>
    </w:p>
    <w:p>
      <w:pPr>
        <w:pStyle w:val="ListParagraph"/>
        <w:numPr>
          <w:ilvl w:val="0"/>
          <w:numId w:val="3"/>
        </w:numPr>
        <w:spacing w:before="0" w:after="120"/>
      </w:pPr>
      <w:r>
        <w:rPr>
          <w:rFonts w:ascii="Arial" w:cs="Arial" w:eastAsia="Arial" w:hAnsi="Arial"/>
          <w:color w:val="4A4A4A"/>
          <w:sz w:val="22"/>
          <w:szCs w:val="22"/>
        </w:rPr>
        <w:t xml:space="preserve">Compress and truck CNG — operationally intensive, margin-thin</w:t>
      </w:r>
    </w:p>
    <w:p>
      <w:pPr>
        <w:pStyle w:val="ListParagraph"/>
        <w:numPr>
          <w:ilvl w:val="0"/>
          <w:numId w:val="3"/>
        </w:numPr>
        <w:spacing w:before="0" w:after="120"/>
      </w:pPr>
      <w:r>
        <w:rPr>
          <w:rFonts w:ascii="Arial" w:cs="Arial" w:eastAsia="Arial" w:hAnsi="Arial"/>
          <w:color w:val="4A4A4A"/>
          <w:sz w:val="22"/>
          <w:szCs w:val="22"/>
        </w:rPr>
        <w:t xml:space="preserve">Deploy on-lease power and compute — fast, capital-light, revenue-generating</w:t>
      </w:r>
    </w:p>
    <w:p>
      <w:pPr>
        <w:spacing w:before="0" w:after="80"/>
      </w:pPr>
      <w:r>
        <w:t xml:space="preserve"/>
      </w:r>
    </w:p>
    <w:p>
      <w:pPr>
        <w:spacing w:before="0" w:after="180"/>
        <w:jc w:val="left"/>
      </w:pPr>
      <w:r>
        <w:rPr>
          <w:rFonts w:ascii="Arial" w:cs="Arial" w:eastAsia="Arial" w:hAnsi="Arial"/>
          <w:b w:val="false"/>
          <w:bCs w:val="false"/>
          <w:color w:val="4A4A4A"/>
          <w:sz w:val="22"/>
          <w:szCs w:val="22"/>
        </w:rPr>
        <w:t xml:space="preserve">Option 5 is the MCF.digital model. It is the only option that simultaneously eliminates flaring, generates incremental revenue, and requires no pipeline infrastructure.</w:t>
      </w:r>
    </w:p>
    <w:p>
      <w:pPr>
        <w:pStyle w:val="Heading2"/>
        <w:spacing w:before="280" w:after="120"/>
      </w:pPr>
      <w:r>
        <w:rPr>
          <w:rFonts w:ascii="Arial" w:cs="Arial" w:eastAsia="Arial" w:hAnsi="Arial"/>
          <w:b/>
          <w:bCs/>
          <w:color w:val="1A1A1A"/>
          <w:sz w:val="24"/>
          <w:szCs w:val="24"/>
        </w:rPr>
        <w:t xml:space="preserve">1.3 Regulatory Trajectory</w:t>
      </w:r>
    </w:p>
    <w:p>
      <w:pPr>
        <w:spacing w:before="0" w:after="180"/>
        <w:jc w:val="left"/>
      </w:pPr>
      <w:r>
        <w:rPr>
          <w:rFonts w:ascii="Arial" w:cs="Arial" w:eastAsia="Arial" w:hAnsi="Arial"/>
          <w:b w:val="false"/>
          <w:bCs w:val="false"/>
          <w:color w:val="4A4A4A"/>
          <w:sz w:val="22"/>
          <w:szCs w:val="22"/>
        </w:rPr>
        <w:t xml:space="preserve">The regulatory environment for flaring is tightening at both federal and state levels. Operators who are not actively managing their flaring position today will face compressing compliance windows:</w:t>
      </w:r>
    </w:p>
    <w:p>
      <w:pPr>
        <w:pStyle w:val="ListParagraph"/>
        <w:numPr>
          <w:ilvl w:val="0"/>
          <w:numId w:val="2"/>
        </w:numPr>
        <w:spacing w:before="0" w:after="120"/>
      </w:pPr>
      <w:r>
        <w:rPr>
          <w:rFonts w:ascii="Arial" w:cs="Arial" w:eastAsia="Arial" w:hAnsi="Arial"/>
          <w:color w:val="4A4A4A"/>
          <w:sz w:val="22"/>
          <w:szCs w:val="22"/>
        </w:rPr>
        <w:t xml:space="preserve">EPA Methane Rule (40 CFR Parts 60/63): Final rule published November 2023 requires significantly reduced flaring, with enhanced monitoring and reporting requirements for new and existing sources. The rule’s phased implementation creates a compliance clock.</w:t>
      </w:r>
    </w:p>
    <w:p>
      <w:pPr>
        <w:pStyle w:val="ListParagraph"/>
        <w:numPr>
          <w:ilvl w:val="0"/>
          <w:numId w:val="2"/>
        </w:numPr>
        <w:spacing w:before="0" w:after="120"/>
      </w:pPr>
      <w:r>
        <w:rPr>
          <w:rFonts w:ascii="Arial" w:cs="Arial" w:eastAsia="Arial" w:hAnsi="Arial"/>
          <w:color w:val="4A4A4A"/>
          <w:sz w:val="22"/>
          <w:szCs w:val="22"/>
        </w:rPr>
        <w:t xml:space="preserve">World Bank Zero Routine Flaring by 2030 Initiative: Over 50 national governments and 30 major oil companies have endorsed this commitment—creating institutional pressure on operators selling to or partnering with endorsers.</w:t>
      </w:r>
    </w:p>
    <w:p>
      <w:pPr>
        <w:pStyle w:val="ListParagraph"/>
        <w:numPr>
          <w:ilvl w:val="0"/>
          <w:numId w:val="2"/>
        </w:numPr>
        <w:spacing w:before="0" w:after="120"/>
      </w:pPr>
      <w:r>
        <w:rPr>
          <w:rFonts w:ascii="Arial" w:cs="Arial" w:eastAsia="Arial" w:hAnsi="Arial"/>
          <w:color w:val="4A4A4A"/>
          <w:sz w:val="22"/>
          <w:szCs w:val="22"/>
        </w:rPr>
        <w:t xml:space="preserve">State-level enforcement is accelerating in North Dakota, Colorado, New Mexico, and Wyoming, with tightening flaring exception windows and increased fine structures.</w:t>
      </w:r>
    </w:p>
    <w:p>
      <w:pPr>
        <w:spacing w:before="0" w:after="180"/>
        <w:jc w:val="left"/>
      </w:pPr>
      <w:r>
        <w:rPr>
          <w:rFonts w:ascii="Arial" w:cs="Arial" w:eastAsia="Arial" w:hAnsi="Arial"/>
          <w:b w:val="false"/>
          <w:bCs w:val="false"/>
          <w:color w:val="4A4A4A"/>
          <w:sz w:val="22"/>
          <w:szCs w:val="22"/>
        </w:rPr>
        <w:t xml:space="preserve">On-lease deployment directly addresses the compliance dimension. Once a deployment is operational, flaring ceases at that pad—converting a regulatory liability into a demonstrable ESG action.</w:t>
      </w:r>
    </w:p>
    <w:p>
      <w:pPr>
        <w:pStyle w:val="Heading1"/>
        <w:pBdr>
          <w:bottom w:val="single" w:color="F97316" w:sz="3"/>
        </w:pBdr>
        <w:spacing w:before="400" w:after="160"/>
      </w:pPr>
      <w:r>
        <w:rPr>
          <w:rFonts w:ascii="Arial" w:cs="Arial" w:eastAsia="Arial" w:hAnsi="Arial"/>
          <w:b/>
          <w:bCs/>
          <w:color w:val="0A0A0A"/>
          <w:sz w:val="28"/>
          <w:szCs w:val="28"/>
        </w:rPr>
        <w:t xml:space="preserve">2. Feasibility Framework: Does Your Pad Qualify?</w:t>
      </w:r>
    </w:p>
    <w:p>
      <w:pPr>
        <w:spacing w:before="0" w:after="180"/>
        <w:jc w:val="left"/>
      </w:pPr>
      <w:r>
        <w:rPr>
          <w:rFonts w:ascii="Arial" w:cs="Arial" w:eastAsia="Arial" w:hAnsi="Arial"/>
          <w:b w:val="false"/>
          <w:bCs w:val="false"/>
          <w:color w:val="4A4A4A"/>
          <w:sz w:val="22"/>
          <w:szCs w:val="22"/>
        </w:rPr>
        <w:t xml:space="preserve">Not every flaring pad is viable for gas-to-hash deployment. The following framework identifies the key variables and thresholds operators should evaluate before engaging MCF.digital.</w:t>
      </w:r>
    </w:p>
    <w:p>
      <w:pPr>
        <w:pStyle w:val="Heading2"/>
        <w:spacing w:before="280" w:after="120"/>
      </w:pPr>
      <w:r>
        <w:rPr>
          <w:rFonts w:ascii="Arial" w:cs="Arial" w:eastAsia="Arial" w:hAnsi="Arial"/>
          <w:b/>
          <w:bCs/>
          <w:color w:val="1A1A1A"/>
          <w:sz w:val="24"/>
          <w:szCs w:val="24"/>
        </w:rPr>
        <w:t xml:space="preserve">2.1 Gas Volume Threshold</w:t>
      </w:r>
    </w:p>
    <w:p>
      <w:pPr>
        <w:spacing w:before="0" w:after="180"/>
        <w:jc w:val="left"/>
      </w:pPr>
      <w:r>
        <w:rPr>
          <w:rFonts w:ascii="Arial" w:cs="Arial" w:eastAsia="Arial" w:hAnsi="Arial"/>
          <w:b w:val="false"/>
          <w:bCs w:val="false"/>
          <w:color w:val="4A4A4A"/>
          <w:sz w:val="22"/>
          <w:szCs w:val="22"/>
        </w:rPr>
        <w:t xml:space="preserve">The minimum viable gas volume for a standalone on-lease deployment is approximately 150–200 Mcf/day of available gas. Below this threshold, the economics of a dedicated genset and ASIC deployment do not pencil at current hardware costs and Bitcoin hashprice levels.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60"/>
        <w:gridCol w:w="2400"/>
      </w:tblGrid>
      <w:tr>
        <w:tc>
          <w:tcPr>
            <w:tcW w:type="dxa" w:w="22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Daily Gas Volume</w:t>
            </w:r>
          </w:p>
        </w:tc>
        <w:tc>
          <w:tcPr>
            <w:tcW w:type="dxa" w:w="24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Approx. Power Capacity</w:t>
            </w:r>
          </w:p>
        </w:tc>
        <w:tc>
          <w:tcPr>
            <w:tcW w:type="dxa" w:w="23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Est. ASIC Count</w:t>
            </w:r>
          </w:p>
        </w:tc>
        <w:tc>
          <w:tcPr>
            <w:tcW w:type="dxa" w:w="24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Deployment Viability</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&lt; 150 Mcf/d</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&lt; 100 kW</w:t>
            </w:r>
          </w:p>
        </w:tc>
        <w:tc>
          <w:tcPr>
            <w:tcW w:type="dxa" w:w="2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&lt; 30 units</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D97706"/>
                <w:sz w:val="20"/>
                <w:szCs w:val="20"/>
              </w:rPr>
              <w:t xml:space="preserve">Below threshold</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150–300 Mcf/d</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100–200 kW</w:t>
            </w:r>
          </w:p>
        </w:tc>
        <w:tc>
          <w:tcPr>
            <w:tcW w:type="dxa" w:w="2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30–60 units</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Marginal — evaluate</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300–600 Mcf/d</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200–400 kW</w:t>
            </w:r>
          </w:p>
        </w:tc>
        <w:tc>
          <w:tcPr>
            <w:tcW w:type="dxa" w:w="2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60–120 units</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bCs/>
                <w:color w:val="16A34A"/>
                <w:sz w:val="20"/>
                <w:szCs w:val="20"/>
              </w:rPr>
              <w:t xml:space="preserve">Viable</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&gt; 600 Mcf/d</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&gt; 400 kW</w:t>
            </w:r>
          </w:p>
        </w:tc>
        <w:tc>
          <w:tcPr>
            <w:tcW w:type="dxa" w:w="2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&gt; 120 units</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bCs/>
                <w:color w:val="16A34A"/>
                <w:sz w:val="20"/>
                <w:szCs w:val="20"/>
              </w:rPr>
              <w:t xml:space="preserve">Optimal</w:t>
            </w:r>
          </w:p>
        </w:tc>
      </w:tr>
    </w:tbl>
    <w:p>
      <w:pPr>
        <w:spacing w:before="0" w:after="120"/>
      </w:pPr>
      <w:r>
        <w:t xml:space="preserve"/>
      </w:r>
    </w:p>
    <w:p>
      <w:pPr>
        <w:pStyle w:val="Heading2"/>
        <w:spacing w:before="280" w:after="120"/>
      </w:pPr>
      <w:r>
        <w:rPr>
          <w:rFonts w:ascii="Arial" w:cs="Arial" w:eastAsia="Arial" w:hAnsi="Arial"/>
          <w:b/>
          <w:bCs/>
          <w:color w:val="1A1A1A"/>
          <w:sz w:val="24"/>
          <w:szCs w:val="24"/>
        </w:rPr>
        <w:t xml:space="preserve">2.2 Gas Quality Requirements</w:t>
      </w:r>
    </w:p>
    <w:p>
      <w:pPr>
        <w:spacing w:before="0" w:after="180"/>
        <w:jc w:val="left"/>
      </w:pPr>
      <w:r>
        <w:rPr>
          <w:rFonts w:ascii="Arial" w:cs="Arial" w:eastAsia="Arial" w:hAnsi="Arial"/>
          <w:b w:val="false"/>
          <w:bCs w:val="false"/>
          <w:color w:val="4A4A4A"/>
          <w:sz w:val="22"/>
          <w:szCs w:val="22"/>
        </w:rPr>
        <w:t xml:space="preserve">Not all gas streams are created equal. The gas must meet minimum quality standards for use in natural gas gensets. Key parameters:</w:t>
      </w:r>
    </w:p>
    <w:p>
      <w:pPr>
        <w:pStyle w:val="ListParagraph"/>
        <w:numPr>
          <w:ilvl w:val="0"/>
          <w:numId w:val="2"/>
        </w:numPr>
        <w:spacing w:before="0" w:after="120"/>
      </w:pPr>
      <w:r>
        <w:rPr>
          <w:rFonts w:ascii="Arial" w:cs="Arial" w:eastAsia="Arial" w:hAnsi="Arial"/>
          <w:color w:val="4A4A4A"/>
          <w:sz w:val="22"/>
          <w:szCs w:val="22"/>
        </w:rPr>
        <w:t xml:space="preserve">Methane Number: The gas must have a methane number above approximately 70 (using the Caterpillar/MWM methodology). Lean, dry gas typically meets this threshold; rich, wet gas may require conditioning.</w:t>
      </w:r>
    </w:p>
    <w:p>
      <w:pPr>
        <w:pStyle w:val="ListParagraph"/>
        <w:numPr>
          <w:ilvl w:val="0"/>
          <w:numId w:val="2"/>
        </w:numPr>
        <w:spacing w:before="0" w:after="120"/>
      </w:pPr>
      <w:r>
        <w:rPr>
          <w:rFonts w:ascii="Arial" w:cs="Arial" w:eastAsia="Arial" w:hAnsi="Arial"/>
          <w:color w:val="4A4A4A"/>
          <w:sz w:val="22"/>
          <w:szCs w:val="22"/>
        </w:rPr>
        <w:t xml:space="preserve">H₂S Content: Hydrogen sulfide above 100–200 ppm requires additional equipment and handling protocols. Sour gas sites are manageable but add cost.</w:t>
      </w:r>
    </w:p>
    <w:p>
      <w:pPr>
        <w:pStyle w:val="ListParagraph"/>
        <w:numPr>
          <w:ilvl w:val="0"/>
          <w:numId w:val="2"/>
        </w:numPr>
        <w:spacing w:before="0" w:after="120"/>
      </w:pPr>
      <w:r>
        <w:rPr>
          <w:rFonts w:ascii="Arial" w:cs="Arial" w:eastAsia="Arial" w:hAnsi="Arial"/>
          <w:color w:val="4A4A4A"/>
          <w:sz w:val="22"/>
          <w:szCs w:val="22"/>
        </w:rPr>
        <w:t xml:space="preserve">Wellhead Pressure: Minimum 15–25 psig at the genset inlet; higher pressure is better. Very low-pressure gas may require compression.</w:t>
      </w:r>
    </w:p>
    <w:p>
      <w:pPr>
        <w:pStyle w:val="ListParagraph"/>
        <w:numPr>
          <w:ilvl w:val="0"/>
          <w:numId w:val="2"/>
        </w:numPr>
        <w:spacing w:before="0" w:after="120"/>
      </w:pPr>
      <w:r>
        <w:rPr>
          <w:rFonts w:ascii="Arial" w:cs="Arial" w:eastAsia="Arial" w:hAnsi="Arial"/>
          <w:color w:val="4A4A4A"/>
          <w:sz w:val="22"/>
          <w:szCs w:val="22"/>
        </w:rPr>
        <w:t xml:space="preserve">Heating Value: Natural gas engines are designed for 950–1,150 BTU/scf. Gas outside this range requires blending or equipment adjustment.</w:t>
      </w:r>
    </w:p>
    <w:p>
      <w:pPr>
        <w:spacing w:before="0" w:after="80"/>
      </w:pPr>
      <w:r>
        <w:t xml:space="preserve"/>
      </w:r>
    </w:p>
    <w:p>
      <w:pPr>
        <w:pStyle w:val="Heading2"/>
        <w:spacing w:before="280" w:after="120"/>
      </w:pPr>
      <w:r>
        <w:rPr>
          <w:rFonts w:ascii="Arial" w:cs="Arial" w:eastAsia="Arial" w:hAnsi="Arial"/>
          <w:b/>
          <w:bCs/>
          <w:color w:val="1A1A1A"/>
          <w:sz w:val="24"/>
          <w:szCs w:val="24"/>
        </w:rPr>
        <w:t xml:space="preserve">2.3 Site Conditions</w:t>
      </w:r>
    </w:p>
    <w:p>
      <w:pPr>
        <w:spacing w:before="0" w:after="180"/>
        <w:jc w:val="left"/>
      </w:pPr>
      <w:r>
        <w:rPr>
          <w:rFonts w:ascii="Arial" w:cs="Arial" w:eastAsia="Arial" w:hAnsi="Arial"/>
          <w:b w:val="false"/>
          <w:bCs w:val="false"/>
          <w:color w:val="4A4A4A"/>
          <w:sz w:val="22"/>
          <w:szCs w:val="22"/>
        </w:rPr>
        <w:t xml:space="preserve">Physical site conditions affect both the deployment configuration and the genset’s rated output:</w:t>
      </w:r>
    </w:p>
    <w:p>
      <w:pPr>
        <w:pStyle w:val="ListParagraph"/>
        <w:numPr>
          <w:ilvl w:val="0"/>
          <w:numId w:val="2"/>
        </w:numPr>
        <w:spacing w:before="0" w:after="120"/>
      </w:pPr>
      <w:r>
        <w:rPr>
          <w:rFonts w:ascii="Arial" w:cs="Arial" w:eastAsia="Arial" w:hAnsi="Arial"/>
          <w:color w:val="4A4A4A"/>
          <w:sz w:val="22"/>
          <w:szCs w:val="22"/>
        </w:rPr>
        <w:t xml:space="preserve">Altitude: Gensets derate approximately 3–4% per 1,000 feet of elevation above sea level. A 500 kW genset at 5,000 feet elevation may produce only ~400 kW of usable power. This is a common cause of underperforming deployments.</w:t>
      </w:r>
    </w:p>
    <w:p>
      <w:pPr>
        <w:pStyle w:val="ListParagraph"/>
        <w:numPr>
          <w:ilvl w:val="0"/>
          <w:numId w:val="2"/>
        </w:numPr>
        <w:spacing w:before="0" w:after="120"/>
      </w:pPr>
      <w:r>
        <w:rPr>
          <w:rFonts w:ascii="Arial" w:cs="Arial" w:eastAsia="Arial" w:hAnsi="Arial"/>
          <w:color w:val="4A4A4A"/>
          <w:sz w:val="22"/>
          <w:szCs w:val="22"/>
        </w:rPr>
        <w:t xml:space="preserve">Ambient Temperature: High ambient temperatures reduce genset output. Summer peak temperatures in the Permian and Eagle Ford require this to be modeled explicitly.</w:t>
      </w:r>
    </w:p>
    <w:p>
      <w:pPr>
        <w:pStyle w:val="ListParagraph"/>
        <w:numPr>
          <w:ilvl w:val="0"/>
          <w:numId w:val="2"/>
        </w:numPr>
        <w:spacing w:before="0" w:after="120"/>
      </w:pPr>
      <w:r>
        <w:rPr>
          <w:rFonts w:ascii="Arial" w:cs="Arial" w:eastAsia="Arial" w:hAnsi="Arial"/>
          <w:color w:val="4A4A4A"/>
          <w:sz w:val="22"/>
          <w:szCs w:val="22"/>
        </w:rPr>
        <w:t xml:space="preserve">Site Access: ASIC containers require periodic physical access for maintenance. Seasonal access restrictions, lease road conditions, and security requirements need to be confirmed.</w:t>
      </w:r>
    </w:p>
    <w:p>
      <w:pPr>
        <w:pStyle w:val="ListParagraph"/>
        <w:numPr>
          <w:ilvl w:val="0"/>
          <w:numId w:val="2"/>
        </w:numPr>
        <w:spacing w:before="0" w:after="120"/>
      </w:pPr>
      <w:r>
        <w:rPr>
          <w:rFonts w:ascii="Arial" w:cs="Arial" w:eastAsia="Arial" w:hAnsi="Arial"/>
          <w:color w:val="4A4A4A"/>
          <w:sz w:val="22"/>
          <w:szCs w:val="22"/>
        </w:rPr>
        <w:t xml:space="preserve">Data Connectivity: Remote sites require satellite connectivity (Starlink) for ASIC pool connectivity and monitoring. Coverage should be confirmed at the wellhead coordinates.</w:t>
      </w:r>
    </w:p>
    <w:p>
      <w:pPr>
        <w:spacing w:before="0" w:after="80"/>
      </w:pPr>
      <w:r>
        <w:t xml:space="preserve"/>
      </w:r>
    </w:p>
    <w:p>
      <w:pPr>
        <w:pStyle w:val="Heading2"/>
        <w:spacing w:before="280" w:after="120"/>
      </w:pPr>
      <w:r>
        <w:rPr>
          <w:rFonts w:ascii="Arial" w:cs="Arial" w:eastAsia="Arial" w:hAnsi="Arial"/>
          <w:b/>
          <w:bCs/>
          <w:color w:val="1A1A1A"/>
          <w:sz w:val="24"/>
          <w:szCs w:val="24"/>
        </w:rPr>
        <w:t xml:space="preserve">2.4 Regulatory and Lease Status</w:t>
      </w:r>
    </w:p>
    <w:p>
      <w:pPr>
        <w:spacing w:before="0" w:after="180"/>
        <w:jc w:val="left"/>
      </w:pPr>
      <w:r>
        <w:rPr>
          <w:rFonts w:ascii="Arial" w:cs="Arial" w:eastAsia="Arial" w:hAnsi="Arial"/>
          <w:b w:val="false"/>
          <w:bCs w:val="false"/>
          <w:color w:val="4A4A4A"/>
          <w:sz w:val="22"/>
          <w:szCs w:val="22"/>
        </w:rPr>
        <w:t xml:space="preserve">Before deployment can begin, the following regulatory and contractual questions must be answered:</w:t>
      </w:r>
    </w:p>
    <w:p>
      <w:pPr>
        <w:pStyle w:val="ListParagraph"/>
        <w:numPr>
          <w:ilvl w:val="0"/>
          <w:numId w:val="2"/>
        </w:numPr>
        <w:spacing w:before="0" w:after="120"/>
      </w:pPr>
      <w:r>
        <w:rPr>
          <w:rFonts w:ascii="Arial" w:cs="Arial" w:eastAsia="Arial" w:hAnsi="Arial"/>
          <w:color w:val="4A4A4A"/>
          <w:sz w:val="22"/>
          <w:szCs w:val="22"/>
        </w:rPr>
        <w:t xml:space="preserve">Does the operator hold the rights to consume associated gas on-lease under the current lease terms?</w:t>
      </w:r>
    </w:p>
    <w:p>
      <w:pPr>
        <w:pStyle w:val="ListParagraph"/>
        <w:numPr>
          <w:ilvl w:val="0"/>
          <w:numId w:val="2"/>
        </w:numPr>
        <w:spacing w:before="0" w:after="120"/>
      </w:pPr>
      <w:r>
        <w:rPr>
          <w:rFonts w:ascii="Arial" w:cs="Arial" w:eastAsia="Arial" w:hAnsi="Arial"/>
          <w:color w:val="4A4A4A"/>
          <w:sz w:val="22"/>
          <w:szCs w:val="22"/>
        </w:rPr>
        <w:t xml:space="preserve">Does the flaring permit allow for immediate cessation of flaring upon deployment? (Some permits require advance notification.)</w:t>
      </w:r>
    </w:p>
    <w:p>
      <w:pPr>
        <w:pStyle w:val="ListParagraph"/>
        <w:numPr>
          <w:ilvl w:val="0"/>
          <w:numId w:val="2"/>
        </w:numPr>
        <w:spacing w:before="0" w:after="120"/>
      </w:pPr>
      <w:r>
        <w:rPr>
          <w:rFonts w:ascii="Arial" w:cs="Arial" w:eastAsia="Arial" w:hAnsi="Arial"/>
          <w:color w:val="4A4A4A"/>
          <w:sz w:val="22"/>
          <w:szCs w:val="22"/>
        </w:rPr>
        <w:t xml:space="preserve">Are there any active midstream contracts with minimum volume commitments that would conflict with re-routing gas to an on-lease genset?</w:t>
      </w:r>
    </w:p>
    <w:p>
      <w:pPr>
        <w:pStyle w:val="ListParagraph"/>
        <w:numPr>
          <w:ilvl w:val="0"/>
          <w:numId w:val="2"/>
        </w:numPr>
        <w:spacing w:before="0" w:after="120"/>
      </w:pPr>
      <w:r>
        <w:rPr>
          <w:rFonts w:ascii="Arial" w:cs="Arial" w:eastAsia="Arial" w:hAnsi="Arial"/>
          <w:color w:val="4A4A4A"/>
          <w:sz w:val="22"/>
          <w:szCs w:val="22"/>
        </w:rPr>
        <w:t xml:space="preserve">Are state flaring exception requests in flight that might create compliance complications?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thick" w:color="F97316" w:sz="8"/>
              <w:left w:val="thick" w:color="F97316" w:sz="8"/>
              <w:bottom w:val="single" w:color="E0E0E0" w:sz="1"/>
              <w:right w:val="single" w:color="E0E0E0" w:sz="1"/>
            </w:tcBorders>
            <w:shd w:fill="FFF7ED" w:val="clear"/>
            <w:tcMar>
              <w:top w:type="dxa" w:w="120"/>
              <w:left w:type="dxa" w:w="200"/>
              <w:bottom w:type="dxa" w:w="120"/>
              <w:right w:type="dxa" w:w="200"/>
            </w:tcMar>
          </w:tcPr>
          <w:p>
            <w:pPr>
              <w:spacing w:before="0" w:after="60"/>
            </w:pPr>
            <w:r>
              <w:rPr>
                <w:rFonts w:ascii="Arial" w:cs="Arial" w:eastAsia="Arial" w:hAnsi="Arial"/>
                <w:b/>
                <w:bCs/>
                <w:color w:val="F97316"/>
                <w:sz w:val="20"/>
                <w:szCs w:val="20"/>
              </w:rPr>
              <w:t xml:space="preserve">Feasibility Quick Screen</w:t>
            </w:r>
          </w:p>
          <w:p>
            <w:pPr>
              <w:spacing w:before="0" w:after="0"/>
            </w:pPr>
            <w:r>
              <w:rPr>
                <w:rFonts w:ascii="Arial" w:cs="Arial" w:eastAsia="Arial" w:hAnsi="Arial"/>
                <w:color w:val="1A1A1A"/>
                <w:sz w:val="21"/>
                <w:szCs w:val="21"/>
              </w:rPr>
              <w:t xml:space="preserve">A pad qualifies for initial evaluation if it meets all three of the following: (1) &gt; 200 Mcf/d of available gas, (2) methane number above 65, and (3) wellhead pressure above 15 psig. Operators who meet these thresholds should request a full feasibility review at tools.mcf.digital.</w:t>
            </w:r>
          </w:p>
        </w:tc>
      </w:tr>
    </w:tbl>
    <w:p>
      <w:pPr>
        <w:pStyle w:val="Heading1"/>
        <w:pBdr>
          <w:bottom w:val="single" w:color="F97316" w:sz="3"/>
        </w:pBdr>
        <w:spacing w:before="400" w:after="160"/>
      </w:pPr>
      <w:r>
        <w:rPr>
          <w:rFonts w:ascii="Arial" w:cs="Arial" w:eastAsia="Arial" w:hAnsi="Arial"/>
          <w:b/>
          <w:bCs/>
          <w:color w:val="0A0A0A"/>
          <w:sz w:val="28"/>
          <w:szCs w:val="28"/>
        </w:rPr>
        <w:t xml:space="preserve">3. Pro Forma Financial Model: Example Inputs and Outputs</w:t>
      </w:r>
    </w:p>
    <w:p>
      <w:pPr>
        <w:spacing w:before="0" w:after="180"/>
        <w:jc w:val="left"/>
      </w:pPr>
      <w:r>
        <w:rPr>
          <w:rFonts w:ascii="Arial" w:cs="Arial" w:eastAsia="Arial" w:hAnsi="Arial"/>
          <w:b w:val="false"/>
          <w:bCs w:val="false"/>
          <w:color w:val="4A4A4A"/>
          <w:sz w:val="22"/>
          <w:szCs w:val="22"/>
        </w:rPr>
        <w:t xml:space="preserve">The following pro forma model illustrates the economics of a representative Permian Basin flare site deployment. All figures are illustrative; actual results will vary by site. Operators should run site-specific numbers using the MCF.digital calculator at tools.mcf.digital.</w:t>
      </w:r>
    </w:p>
    <w:p>
      <w:pPr>
        <w:pStyle w:val="Heading2"/>
        <w:spacing w:before="280" w:after="120"/>
      </w:pPr>
      <w:r>
        <w:rPr>
          <w:rFonts w:ascii="Arial" w:cs="Arial" w:eastAsia="Arial" w:hAnsi="Arial"/>
          <w:b/>
          <w:bCs/>
          <w:color w:val="1A1A1A"/>
          <w:sz w:val="24"/>
          <w:szCs w:val="24"/>
        </w:rPr>
        <w:t xml:space="preserve">3.1 Illustrative Site Profile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Parameter</w:t>
            </w:r>
          </w:p>
        </w:tc>
        <w:tc>
          <w:tcPr>
            <w:tcW w:type="dxa" w:w="51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r>
      <w:tr>
        <w:tc>
          <w:tcPr>
            <w:tcW w:type="dxa" w:w="4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Location</w:t>
            </w:r>
          </w:p>
        </w:tc>
        <w:tc>
          <w:tcPr>
            <w:tcW w:type="dxa" w:w="5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Permian Basin, Delaware Sub-basin, ~4,200 ft elevation</w:t>
            </w:r>
          </w:p>
        </w:tc>
      </w:tr>
      <w:tr>
        <w:tc>
          <w:tcPr>
            <w:tcW w:type="dxa" w:w="4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Daily Gas Volume (Available)</w:t>
            </w:r>
          </w:p>
        </w:tc>
        <w:tc>
          <w:tcPr>
            <w:tcW w:type="dxa" w:w="5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350 Mcf/day</w:t>
            </w:r>
          </w:p>
        </w:tc>
      </w:tr>
      <w:tr>
        <w:tc>
          <w:tcPr>
            <w:tcW w:type="dxa" w:w="4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Gas Quality (Methane Content)</w:t>
            </w:r>
          </w:p>
        </w:tc>
        <w:tc>
          <w:tcPr>
            <w:tcW w:type="dxa" w:w="5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82% methane; methane number ~78</w:t>
            </w:r>
          </w:p>
        </w:tc>
      </w:tr>
      <w:tr>
        <w:tc>
          <w:tcPr>
            <w:tcW w:type="dxa" w:w="4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Wellhead Pressure</w:t>
            </w:r>
          </w:p>
        </w:tc>
        <w:tc>
          <w:tcPr>
            <w:tcW w:type="dxa" w:w="5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65 psig</w:t>
            </w:r>
          </w:p>
        </w:tc>
      </w:tr>
      <w:tr>
        <w:tc>
          <w:tcPr>
            <w:tcW w:type="dxa" w:w="4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Site Elevation</w:t>
            </w:r>
          </w:p>
        </w:tc>
        <w:tc>
          <w:tcPr>
            <w:tcW w:type="dxa" w:w="5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4,200 feet ASL</w:t>
            </w:r>
          </w:p>
        </w:tc>
      </w:tr>
      <w:tr>
        <w:tc>
          <w:tcPr>
            <w:tcW w:type="dxa" w:w="4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Ambient Temperature (Peak)</w:t>
            </w:r>
          </w:p>
        </w:tc>
        <w:tc>
          <w:tcPr>
            <w:tcW w:type="dxa" w:w="5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105°F summer peak</w:t>
            </w:r>
          </w:p>
        </w:tc>
      </w:tr>
      <w:tr>
        <w:tc>
          <w:tcPr>
            <w:tcW w:type="dxa" w:w="4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Deal Structure</w:t>
            </w:r>
          </w:p>
        </w:tc>
        <w:tc>
          <w:tcPr>
            <w:tcW w:type="dxa" w:w="5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Revenue share (operator receives 30% of BTC mined, net of power costs)</w:t>
            </w:r>
          </w:p>
        </w:tc>
      </w:tr>
    </w:tbl>
    <w:p>
      <w:pPr>
        <w:spacing w:before="0" w:after="160"/>
      </w:pPr>
      <w:r>
        <w:t xml:space="preserve"/>
      </w:r>
    </w:p>
    <w:p>
      <w:pPr>
        <w:pStyle w:val="Heading2"/>
        <w:spacing w:before="280" w:after="120"/>
      </w:pPr>
      <w:r>
        <w:rPr>
          <w:rFonts w:ascii="Arial" w:cs="Arial" w:eastAsia="Arial" w:hAnsi="Arial"/>
          <w:b/>
          <w:bCs/>
          <w:color w:val="1A1A1A"/>
          <w:sz w:val="24"/>
          <w:szCs w:val="24"/>
        </w:rPr>
        <w:t xml:space="preserve">3.2 Power and Compute Sizing</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Item</w:t>
            </w:r>
          </w:p>
        </w:tc>
        <w:tc>
          <w:tcPr>
            <w:tcW w:type="dxa" w:w="51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Calculation / Value</w:t>
            </w:r>
          </w:p>
        </w:tc>
      </w:tr>
      <w:tr>
        <w:tc>
          <w:tcPr>
            <w:tcW w:type="dxa" w:w="4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Nameplate Genset Capacity</w:t>
            </w:r>
          </w:p>
        </w:tc>
        <w:tc>
          <w:tcPr>
            <w:tcW w:type="dxa" w:w="5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400 kW (Cat G3516 or equivalent)</w:t>
            </w:r>
          </w:p>
        </w:tc>
      </w:tr>
      <w:tr>
        <w:tc>
          <w:tcPr>
            <w:tcW w:type="dxa" w:w="4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Altitude Derate (4,200 ft × 3.5%)</w:t>
            </w:r>
          </w:p>
        </w:tc>
        <w:tc>
          <w:tcPr>
            <w:tcW w:type="dxa" w:w="5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−15.4 kW → 384.6 kW available</w:t>
            </w:r>
          </w:p>
        </w:tc>
      </w:tr>
      <w:tr>
        <w:tc>
          <w:tcPr>
            <w:tcW w:type="dxa" w:w="4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Temperature Derate (~5%)</w:t>
            </w:r>
          </w:p>
        </w:tc>
        <w:tc>
          <w:tcPr>
            <w:tcW w:type="dxa" w:w="5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−19.2 kW → 365 kW net usable power</w:t>
            </w:r>
          </w:p>
        </w:tc>
      </w:tr>
      <w:tr>
        <w:tc>
          <w:tcPr>
            <w:tcW w:type="dxa" w:w="4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Parasitic Loads (cooling, monitoring)</w:t>
            </w:r>
          </w:p>
        </w:tc>
        <w:tc>
          <w:tcPr>
            <w:tcW w:type="dxa" w:w="5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~15 kW → 350 kW to ASICs</w:t>
            </w:r>
          </w:p>
        </w:tc>
      </w:tr>
      <w:tr>
        <w:tc>
          <w:tcPr>
            <w:tcW w:type="dxa" w:w="4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ASIC Selection</w:t>
            </w:r>
          </w:p>
        </w:tc>
        <w:tc>
          <w:tcPr>
            <w:tcW w:type="dxa" w:w="5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Antminer S21 Pro (198 TH/s @ 3,150W each)</w:t>
            </w:r>
          </w:p>
        </w:tc>
      </w:tr>
      <w:tr>
        <w:tc>
          <w:tcPr>
            <w:tcW w:type="dxa" w:w="4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ASIC Count</w:t>
            </w:r>
          </w:p>
        </w:tc>
        <w:tc>
          <w:tcPr>
            <w:tcW w:type="dxa" w:w="5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350,000W ÷ 3,150W = ~111 units</w:t>
            </w:r>
          </w:p>
        </w:tc>
      </w:tr>
      <w:tr>
        <w:tc>
          <w:tcPr>
            <w:tcW w:type="dxa" w:w="4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Total Hashrate</w:t>
            </w:r>
          </w:p>
        </w:tc>
        <w:tc>
          <w:tcPr>
            <w:tcW w:type="dxa" w:w="5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111 × 198 TH/s = ~21.9 PH/s</w:t>
            </w:r>
          </w:p>
        </w:tc>
      </w:tr>
      <w:tr>
        <w:tc>
          <w:tcPr>
            <w:tcW w:type="dxa" w:w="4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Target Uptime</w:t>
            </w:r>
          </w:p>
        </w:tc>
        <w:tc>
          <w:tcPr>
            <w:tcW w:type="dxa" w:w="5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92% (field-realistic for remote pad conditions)</w:t>
            </w:r>
          </w:p>
        </w:tc>
      </w:tr>
      <w:tr>
        <w:tc>
          <w:tcPr>
            <w:tcW w:type="dxa" w:w="4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Effective Monthly Hashrate</w:t>
            </w:r>
          </w:p>
        </w:tc>
        <w:tc>
          <w:tcPr>
            <w:tcW w:type="dxa" w:w="5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21.9 PH/s × 0.92 = ~20.1 PH/s</w:t>
            </w:r>
          </w:p>
        </w:tc>
      </w:tr>
    </w:tbl>
    <w:p>
      <w:pPr>
        <w:spacing w:before="0" w:after="160"/>
      </w:pPr>
      <w:r>
        <w:t xml:space="preserve"/>
      </w:r>
    </w:p>
    <w:p>
      <w:pPr>
        <w:pStyle w:val="Heading2"/>
        <w:spacing w:before="280" w:after="120"/>
      </w:pPr>
      <w:r>
        <w:rPr>
          <w:rFonts w:ascii="Arial" w:cs="Arial" w:eastAsia="Arial" w:hAnsi="Arial"/>
          <w:b/>
          <w:bCs/>
          <w:color w:val="1A1A1A"/>
          <w:sz w:val="24"/>
          <w:szCs w:val="24"/>
        </w:rPr>
        <w:t xml:space="preserve">3.3 Revenue and Payout Model</w:t>
      </w:r>
    </w:p>
    <w:p>
      <w:pPr>
        <w:spacing w:before="0" w:after="180"/>
        <w:jc w:val="left"/>
      </w:pPr>
      <w:r>
        <w:rPr>
          <w:rFonts w:ascii="Arial" w:cs="Arial" w:eastAsia="Arial" w:hAnsi="Arial"/>
          <w:b w:val="false"/>
          <w:bCs w:val="false"/>
          <w:color w:val="4A4A4A"/>
          <w:sz w:val="22"/>
          <w:szCs w:val="22"/>
        </w:rPr>
        <w:t xml:space="preserve">The following model uses three hashprice scenarios to illustrate the range of outcomes. Hashprice is the daily revenue per petahash of mining power and is the primary driver of deployment economics.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212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Bear ($40/PH/d)</w:t>
            </w:r>
          </w:p>
        </w:tc>
        <w:tc>
          <w:tcPr>
            <w:tcW w:type="dxa" w:w="212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Base ($80/PH/d)</w:t>
            </w:r>
          </w:p>
        </w:tc>
        <w:tc>
          <w:tcPr>
            <w:tcW w:type="dxa" w:w="212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Bull ($140/PH/d)</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Daily Revenue (Gross)</w:t>
            </w:r>
          </w:p>
        </w:tc>
        <w:tc>
          <w:tcPr>
            <w:tcW w:type="dxa" w:w="2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$804</w:t>
            </w:r>
          </w:p>
        </w:tc>
        <w:tc>
          <w:tcPr>
            <w:tcW w:type="dxa" w:w="2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$1,608</w:t>
            </w:r>
          </w:p>
        </w:tc>
        <w:tc>
          <w:tcPr>
            <w:tcW w:type="dxa" w:w="2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$2,814</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Monthly Revenue (Gross)</w:t>
            </w:r>
          </w:p>
        </w:tc>
        <w:tc>
          <w:tcPr>
            <w:tcW w:type="dxa" w:w="2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$24,120</w:t>
            </w:r>
          </w:p>
        </w:tc>
        <w:tc>
          <w:tcPr>
            <w:tcW w:type="dxa" w:w="2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$48,240</w:t>
            </w:r>
          </w:p>
        </w:tc>
        <w:tc>
          <w:tcPr>
            <w:tcW w:type="dxa" w:w="2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$84,420</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Operator Share (30%)</w:t>
            </w:r>
          </w:p>
        </w:tc>
        <w:tc>
          <w:tcPr>
            <w:tcW w:type="dxa" w:w="2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$7,236</w:t>
            </w:r>
          </w:p>
        </w:tc>
        <w:tc>
          <w:tcPr>
            <w:tcW w:type="dxa" w:w="2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$14,472</w:t>
            </w:r>
          </w:p>
        </w:tc>
        <w:tc>
          <w:tcPr>
            <w:tcW w:type="dxa" w:w="2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$25,326</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Annual Operator Revenue</w:t>
            </w:r>
          </w:p>
        </w:tc>
        <w:tc>
          <w:tcPr>
            <w:tcW w:type="dxa" w:w="2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$86,832</w:t>
            </w:r>
          </w:p>
        </w:tc>
        <w:tc>
          <w:tcPr>
            <w:tcW w:type="dxa" w:w="2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$173,664</w:t>
            </w:r>
          </w:p>
        </w:tc>
        <w:tc>
          <w:tcPr>
            <w:tcW w:type="dxa" w:w="2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$303,912</w:t>
            </w:r>
          </w:p>
        </w:tc>
      </w:tr>
    </w:tbl>
    <w:p>
      <w:pPr>
        <w:spacing w:before="0" w:after="160"/>
      </w:pPr>
      <w:r>
        <w:t xml:space="preserve"/>
      </w:r>
    </w:p>
    <w:p>
      <w:pPr>
        <w:pStyle w:val="Heading2"/>
        <w:spacing w:before="280" w:after="120"/>
      </w:pPr>
      <w:r>
        <w:rPr>
          <w:rFonts w:ascii="Arial" w:cs="Arial" w:eastAsia="Arial" w:hAnsi="Arial"/>
          <w:b/>
          <w:bCs/>
          <w:color w:val="1A1A1A"/>
          <w:sz w:val="24"/>
          <w:szCs w:val="24"/>
        </w:rPr>
        <w:t xml:space="preserve">3.4 Capital Requirements and Payback</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Cost Item</w:t>
            </w:r>
          </w:p>
        </w:tc>
        <w:tc>
          <w:tcPr>
            <w:tcW w:type="dxa" w:w="51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Estimated Cost (Illustrative)</w:t>
            </w:r>
          </w:p>
        </w:tc>
      </w:tr>
      <w:tr>
        <w:tc>
          <w:tcPr>
            <w:tcW w:type="dxa" w:w="4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Generator / Prime Mover (400 kW)</w:t>
            </w:r>
          </w:p>
        </w:tc>
        <w:tc>
          <w:tcPr>
            <w:tcW w:type="dxa" w:w="5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$180,000–$240,000</w:t>
            </w:r>
          </w:p>
        </w:tc>
      </w:tr>
      <w:tr>
        <w:tc>
          <w:tcPr>
            <w:tcW w:type="dxa" w:w="4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Gas Conditioning / Skid</w:t>
            </w:r>
          </w:p>
        </w:tc>
        <w:tc>
          <w:tcPr>
            <w:tcW w:type="dxa" w:w="5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$15,000–$35,000</w:t>
            </w:r>
          </w:p>
        </w:tc>
      </w:tr>
      <w:tr>
        <w:tc>
          <w:tcPr>
            <w:tcW w:type="dxa" w:w="4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ASIC Miners (111 units)</w:t>
            </w:r>
          </w:p>
        </w:tc>
        <w:tc>
          <w:tcPr>
            <w:tcW w:type="dxa" w:w="5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$140,000–$200,000 (market-dependent)</w:t>
            </w:r>
          </w:p>
        </w:tc>
      </w:tr>
      <w:tr>
        <w:tc>
          <w:tcPr>
            <w:tcW w:type="dxa" w:w="4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Containers (2 × 40-ft compute containers)</w:t>
            </w:r>
          </w:p>
        </w:tc>
        <w:tc>
          <w:tcPr>
            <w:tcW w:type="dxa" w:w="5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$50,000–$80,000</w:t>
            </w:r>
          </w:p>
        </w:tc>
      </w:tr>
      <w:tr>
        <w:tc>
          <w:tcPr>
            <w:tcW w:type="dxa" w:w="4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Electrical Interconnect / Installation</w:t>
            </w:r>
          </w:p>
        </w:tc>
        <w:tc>
          <w:tcPr>
            <w:tcW w:type="dxa" w:w="5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$20,000–$40,000</w:t>
            </w:r>
          </w:p>
        </w:tc>
      </w:tr>
      <w:tr>
        <w:tc>
          <w:tcPr>
            <w:tcW w:type="dxa" w:w="4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Connectivity (Starlink setup)</w:t>
            </w:r>
          </w:p>
        </w:tc>
        <w:tc>
          <w:tcPr>
            <w:tcW w:type="dxa" w:w="5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$2,500–$5,000</w:t>
            </w:r>
          </w:p>
        </w:tc>
      </w:tr>
      <w:tr>
        <w:tc>
          <w:tcPr>
            <w:tcW w:type="dxa" w:w="4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Total Deployment CapEx (Range)</w:t>
            </w:r>
          </w:p>
        </w:tc>
        <w:tc>
          <w:tcPr>
            <w:tcW w:type="dxa" w:w="5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bCs/>
                <w:color w:val="F97316"/>
                <w:sz w:val="20"/>
                <w:szCs w:val="20"/>
              </w:rPr>
              <w:t xml:space="preserve">$407,500–$600,000</w:t>
            </w:r>
          </w:p>
        </w:tc>
      </w:tr>
      <w:tr>
        <w:tc>
          <w:tcPr>
            <w:tcW w:type="dxa" w:w="4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Simple Payback (Base Case)</w:t>
            </w:r>
          </w:p>
        </w:tc>
        <w:tc>
          <w:tcPr>
            <w:tcW w:type="dxa" w:w="5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28–42 months (operator share basis)</w:t>
            </w:r>
          </w:p>
        </w:tc>
      </w:tr>
      <w:tr>
        <w:tc>
          <w:tcPr>
            <w:tcW w:type="dxa" w:w="4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Simple Payback (Bull Case)</w:t>
            </w:r>
          </w:p>
        </w:tc>
        <w:tc>
          <w:tcPr>
            <w:tcW w:type="dxa" w:w="5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16–24 months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thick" w:color="F97316" w:sz="8"/>
              <w:left w:val="thick" w:color="F97316" w:sz="8"/>
              <w:bottom w:val="single" w:color="E0E0E0" w:sz="1"/>
              <w:right w:val="single" w:color="E0E0E0" w:sz="1"/>
            </w:tcBorders>
            <w:shd w:fill="FFF7ED" w:val="clear"/>
            <w:tcMar>
              <w:top w:type="dxa" w:w="120"/>
              <w:left w:type="dxa" w:w="200"/>
              <w:bottom w:type="dxa" w:w="120"/>
              <w:right w:type="dxa" w:w="200"/>
            </w:tcMar>
          </w:tcPr>
          <w:p>
            <w:pPr>
              <w:spacing w:before="0" w:after="60"/>
            </w:pPr>
            <w:r>
              <w:rPr>
                <w:rFonts w:ascii="Arial" w:cs="Arial" w:eastAsia="Arial" w:hAnsi="Arial"/>
                <w:b/>
                <w:bCs/>
                <w:color w:val="F97316"/>
                <w:sz w:val="20"/>
                <w:szCs w:val="20"/>
              </w:rPr>
              <w:t xml:space="preserve">Capital Structure Options</w:t>
            </w:r>
          </w:p>
          <w:p>
            <w:pPr>
              <w:spacing w:before="0" w:after="0"/>
            </w:pPr>
            <w:r>
              <w:rPr>
                <w:rFonts w:ascii="Arial" w:cs="Arial" w:eastAsia="Arial" w:hAnsi="Arial"/>
                <w:color w:val="1A1A1A"/>
                <w:sz w:val="21"/>
                <w:szCs w:val="21"/>
              </w:rPr>
              <w:t xml:space="preserve">MCF.digital deploys capital from its own balance sheet and from capital partner investors in exchange for a revenue share. In the hosting and revenue-share structures, the operator contributes zero capital and receives a monthly payout from day one. The CapEx figures above are relevant for operators who wish to own their deployment outright.</w:t>
            </w:r>
          </w:p>
        </w:tc>
      </w:tr>
    </w:tbl>
    <w:p>
      <w:pPr>
        <w:pStyle w:val="Heading1"/>
        <w:pBdr>
          <w:bottom w:val="single" w:color="F97316" w:sz="3"/>
        </w:pBdr>
        <w:spacing w:before="400" w:after="160"/>
      </w:pPr>
      <w:r>
        <w:rPr>
          <w:rFonts w:ascii="Arial" w:cs="Arial" w:eastAsia="Arial" w:hAnsi="Arial"/>
          <w:b/>
          <w:bCs/>
          <w:color w:val="0A0A0A"/>
          <w:sz w:val="28"/>
          <w:szCs w:val="28"/>
        </w:rPr>
        <w:t xml:space="preserve">4. Step-by-Step Deployment Timeline</w:t>
      </w:r>
    </w:p>
    <w:p>
      <w:pPr>
        <w:spacing w:before="0" w:after="180"/>
        <w:jc w:val="left"/>
      </w:pPr>
      <w:r>
        <w:rPr>
          <w:rFonts w:ascii="Arial" w:cs="Arial" w:eastAsia="Arial" w:hAnsi="Arial"/>
          <w:b w:val="false"/>
          <w:bCs w:val="false"/>
          <w:color w:val="4A4A4A"/>
          <w:sz w:val="22"/>
          <w:szCs w:val="22"/>
        </w:rPr>
        <w:t xml:space="preserve">A typical on-lease flare-gas deployment proceeds through seven phases from initial inquiry to first Bitcoin payout. The timeline below assumes a straightforward site with no significant permitting or gas conditioning complications.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160"/>
        <w:gridCol w:w="2600"/>
      </w:tblGrid>
      <w:tr>
        <w:tc>
          <w:tcPr>
            <w:tcW w:type="dxa" w:w="14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Phase</w:t>
            </w:r>
          </w:p>
        </w:tc>
        <w:tc>
          <w:tcPr>
            <w:tcW w:type="dxa" w:w="22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Timeline</w:t>
            </w:r>
          </w:p>
        </w:tc>
        <w:tc>
          <w:tcPr>
            <w:tcW w:type="dxa" w:w="31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Activities</w:t>
            </w:r>
          </w:p>
        </w:tc>
        <w:tc>
          <w:tcPr>
            <w:tcW w:type="dxa" w:w="26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Operator Actions</w:t>
            </w:r>
          </w:p>
        </w:tc>
      </w:tr>
      <w:tr>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 Fit Screen</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Days 1–3</w:t>
            </w:r>
          </w:p>
        </w:tc>
        <w:tc>
          <w:tcPr>
            <w:tcW w:type="dxa" w:w="3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Gas volume confirmation, quality review, site coordinates, regulatory status check. MCF.digital runs calculator model.</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Provide gas data, permit summary, and GPS coordinates.</w:t>
            </w:r>
          </w:p>
        </w:tc>
      </w:tr>
      <w:tr>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 Site Survey</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Days 4–14</w:t>
            </w:r>
          </w:p>
        </w:tc>
        <w:tc>
          <w:tcPr>
            <w:tcW w:type="dxa" w:w="3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On-site inspection: wellhead pressure measurement, gas sampling, site access review, connectivity test, elevation/temp data collection.</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Facilitate site access; confirm operational contacts.</w:t>
            </w:r>
          </w:p>
        </w:tc>
      </w:tr>
      <w:tr>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 Deal Structure</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Days 14–21</w:t>
            </w:r>
          </w:p>
        </w:tc>
        <w:tc>
          <w:tcPr>
            <w:tcW w:type="dxa" w:w="3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Deal structure selection (hosting vs. revenue share), term sheet preparation, legal review, agreement execution.</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Internal legal and finance review; confirm payout wallet (or USD election).</w:t>
            </w:r>
          </w:p>
        </w:tc>
      </w:tr>
      <w:tr>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 Procurement</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Days 21–45</w:t>
            </w:r>
          </w:p>
        </w:tc>
        <w:tc>
          <w:tcPr>
            <w:tcW w:type="dxa" w:w="3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Generator procurement and lead-time management, ASIC hardware ordering, container fabrication or procurement, skid fabrication.</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None required; MCF.digital manages procurement.</w:t>
            </w:r>
          </w:p>
        </w:tc>
      </w:tr>
      <w:tr>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 Site Prep</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Days 30–45</w:t>
            </w:r>
          </w:p>
        </w:tc>
        <w:tc>
          <w:tcPr>
            <w:tcW w:type="dxa" w:w="3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Pad preparation, electrical interconnect planning, gas tie-in engineering, permit applications for any required modifications.</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Confirm contractor access; coordinate with lease operator if different.</w:t>
            </w:r>
          </w:p>
        </w:tc>
      </w:tr>
      <w:tr>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6. Installation</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Days 45–60</w:t>
            </w:r>
          </w:p>
        </w:tc>
        <w:tc>
          <w:tcPr>
            <w:tcW w:type="dxa" w:w="3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Generator delivery and commissioning, container placement, ASIC installation and configuration, Starlink installation, system integration testing.</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Presence during commissioning recommended; confirm flaring cessation notification to regulator.</w:t>
            </w:r>
          </w:p>
        </w:tc>
      </w:tr>
      <w:tr>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7. Operations</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Day 60+</w:t>
            </w:r>
          </w:p>
        </w:tc>
        <w:tc>
          <w:tcPr>
            <w:tcW w:type="dxa" w:w="3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24/7 remote monitoring, scheduled maintenance, ASIC firmware management, gas usage reporting, Bitcoin custody and distribution.</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Receive monthly payout report; maintain site access for scheduled maintenance visits.</w:t>
            </w:r>
          </w:p>
        </w:tc>
      </w:tr>
    </w:tbl>
    <w:p>
      <w:pPr>
        <w:spacing w:before="0" w:after="160"/>
      </w:pPr>
      <w:r>
        <w:t xml:space="preserve"/>
      </w:r>
    </w:p>
    <w:p>
      <w:pPr>
        <w:spacing w:before="0" w:after="180"/>
        <w:jc w:val="left"/>
      </w:pPr>
      <w:r>
        <w:rPr>
          <w:rFonts w:ascii="Arial" w:cs="Arial" w:eastAsia="Arial" w:hAnsi="Arial"/>
          <w:b w:val="false"/>
          <w:bCs w:val="false"/>
          <w:color w:val="4A4A4A"/>
          <w:sz w:val="22"/>
          <w:szCs w:val="22"/>
        </w:rPr>
        <w:t xml:space="preserve">From executed agreement to first Bitcoin production, the typical timeline is 45–60 days. Permian Basin deployments with readily available equipment and no significant site complications have been completed in as little as 35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thick" w:color="F97316" w:sz="8"/>
              <w:left w:val="thick" w:color="F97316" w:sz="8"/>
              <w:bottom w:val="single" w:color="E0E0E0" w:sz="1"/>
              <w:right w:val="single" w:color="E0E0E0" w:sz="1"/>
            </w:tcBorders>
            <w:shd w:fill="FFF7ED" w:val="clear"/>
            <w:tcMar>
              <w:top w:type="dxa" w:w="120"/>
              <w:left w:type="dxa" w:w="200"/>
              <w:bottom w:type="dxa" w:w="120"/>
              <w:right w:type="dxa" w:w="200"/>
            </w:tcMar>
          </w:tcPr>
          <w:p>
            <w:pPr>
              <w:spacing w:before="0" w:after="60"/>
            </w:pPr>
            <w:r>
              <w:rPr>
                <w:rFonts w:ascii="Arial" w:cs="Arial" w:eastAsia="Arial" w:hAnsi="Arial"/>
                <w:b/>
                <w:bCs/>
                <w:color w:val="F97316"/>
                <w:sz w:val="20"/>
                <w:szCs w:val="20"/>
              </w:rPr>
              <w:t xml:space="preserve">What Operators Often Underestimate</w:t>
            </w:r>
          </w:p>
          <w:p>
            <w:pPr>
              <w:spacing w:before="0" w:after="0"/>
            </w:pPr>
            <w:r>
              <w:rPr>
                <w:rFonts w:ascii="Arial" w:cs="Arial" w:eastAsia="Arial" w:hAnsi="Arial"/>
                <w:color w:val="1A1A1A"/>
                <w:sz w:val="21"/>
                <w:szCs w:val="21"/>
              </w:rPr>
              <w:t xml:space="preserve">The longest lead-time item in a deployment is usually the generator—not the ASICs. New Cat G3516-series engines can carry 12–16 week lead times in high-demand periods. MCF.digital maintains relationships with dealers and remanufacturers to manage this constraint, but operators should not assume that “we want to go fast” translates to a 30-day deployment if the generator market is tight.</w:t>
            </w:r>
          </w:p>
        </w:tc>
      </w:tr>
    </w:tbl>
    <w:p>
      <w:pPr>
        <w:pStyle w:val="Heading1"/>
        <w:pBdr>
          <w:bottom w:val="single" w:color="F97316" w:sz="3"/>
        </w:pBdr>
        <w:spacing w:before="400" w:after="160"/>
      </w:pPr>
      <w:r>
        <w:rPr>
          <w:rFonts w:ascii="Arial" w:cs="Arial" w:eastAsia="Arial" w:hAnsi="Arial"/>
          <w:b/>
          <w:bCs/>
          <w:color w:val="0A0A0A"/>
          <w:sz w:val="28"/>
          <w:szCs w:val="28"/>
        </w:rPr>
        <w:t xml:space="preserve">5. Regulatory Checklist: Top Five Flaring States</w:t>
      </w:r>
    </w:p>
    <w:p>
      <w:pPr>
        <w:spacing w:before="0" w:after="180"/>
        <w:jc w:val="left"/>
      </w:pPr>
      <w:r>
        <w:rPr>
          <w:rFonts w:ascii="Arial" w:cs="Arial" w:eastAsia="Arial" w:hAnsi="Arial"/>
          <w:b w:val="false"/>
          <w:bCs w:val="false"/>
          <w:color w:val="4A4A4A"/>
          <w:sz w:val="22"/>
          <w:szCs w:val="22"/>
        </w:rPr>
        <w:t xml:space="preserve">Each of the five primary U.S. flaring states has distinct regulatory requirements that operators must navigate before deploying an on-lease gas-to-hash system. The following checklists identify the key compliance steps in each jurisdiction.</w:t>
      </w:r>
    </w:p>
    <w:p>
      <w:pPr>
        <w:spacing w:before="0" w:after="80"/>
      </w:pPr>
      <w:r>
        <w:t xml:space="preserve"/>
      </w:r>
    </w:p>
    <w:p>
      <w:pPr>
        <w:pStyle w:val="Heading2"/>
        <w:spacing w:before="280" w:after="120"/>
      </w:pPr>
      <w:r>
        <w:rPr>
          <w:rFonts w:ascii="Arial" w:cs="Arial" w:eastAsia="Arial" w:hAnsi="Arial"/>
          <w:b/>
          <w:bCs/>
          <w:color w:val="1A1A1A"/>
          <w:sz w:val="24"/>
          <w:szCs w:val="24"/>
        </w:rPr>
        <w:t xml:space="preserve">5.1 Texas (TCEQ / Railroad Commission)</w:t>
      </w:r>
    </w:p>
    <w:p>
      <w:pPr>
        <w:spacing w:before="0" w:after="180"/>
        <w:jc w:val="left"/>
      </w:pPr>
      <w:r>
        <w:rPr>
          <w:rFonts w:ascii="Arial" w:cs="Arial" w:eastAsia="Arial" w:hAnsi="Arial"/>
          <w:b w:val="false"/>
          <w:bCs w:val="false"/>
          <w:color w:val="4A4A4A"/>
          <w:sz w:val="22"/>
          <w:szCs w:val="22"/>
        </w:rPr>
        <w:t xml:space="preserve">Texas has the highest absolute flaring volume in the U.S. and is regulated by both the Texas Railroad Commission (RRC) for upstream operations and TCEQ for air quality.</w:t>
      </w:r>
    </w:p>
    <w:p>
      <w:pPr>
        <w:pStyle w:val="ListParagraph"/>
        <w:numPr>
          <w:ilvl w:val="0"/>
          <w:numId w:val="2"/>
        </w:numPr>
        <w:spacing w:after="120"/>
      </w:pPr>
      <w:r>
        <w:rPr>
          <w:rFonts w:ascii="Arial" w:cs="Arial" w:eastAsia="Arial" w:hAnsi="Arial"/>
          <w:b/>
          <w:bCs/>
          <w:color w:val="1A1A1A"/>
          <w:sz w:val="22"/>
          <w:szCs w:val="22"/>
        </w:rPr>
        <w:t xml:space="preserve">RRC Flaring Permit: </w:t>
      </w:r>
      <w:r>
        <w:rPr>
          <w:rFonts w:ascii="Arial" w:cs="Arial" w:eastAsia="Arial" w:hAnsi="Arial"/>
          <w:color w:val="4A4A4A"/>
          <w:sz w:val="22"/>
          <w:szCs w:val="22"/>
        </w:rPr>
        <w:t xml:space="preserve">Operators must hold an active RRC Form W-3A (gas flaring exception) or equivalent. Confirm whether the permit allows cessation without advance notice, or requires RRC notification.</w:t>
      </w:r>
    </w:p>
    <w:p>
      <w:pPr>
        <w:pStyle w:val="ListParagraph"/>
        <w:numPr>
          <w:ilvl w:val="0"/>
          <w:numId w:val="2"/>
        </w:numPr>
        <w:spacing w:after="120"/>
      </w:pPr>
      <w:r>
        <w:rPr>
          <w:rFonts w:ascii="Arial" w:cs="Arial" w:eastAsia="Arial" w:hAnsi="Arial"/>
          <w:b/>
          <w:bCs/>
          <w:color w:val="1A1A1A"/>
          <w:sz w:val="22"/>
          <w:szCs w:val="22"/>
        </w:rPr>
        <w:t xml:space="preserve">TCEQ Air Permit: </w:t>
      </w:r>
      <w:r>
        <w:rPr>
          <w:rFonts w:ascii="Arial" w:cs="Arial" w:eastAsia="Arial" w:hAnsi="Arial"/>
          <w:color w:val="4A4A4A"/>
          <w:sz w:val="22"/>
          <w:szCs w:val="22"/>
        </w:rPr>
        <w:t xml:space="preserve">The on-lease generator will require a TCEQ Flexible Permit or Standard Permit for emissions. This typically takes 30–60 days for a standard permit. New Source Review (NSR) applicability should be confirmed.</w:t>
      </w:r>
    </w:p>
    <w:p>
      <w:pPr>
        <w:pStyle w:val="ListParagraph"/>
        <w:numPr>
          <w:ilvl w:val="0"/>
          <w:numId w:val="2"/>
        </w:numPr>
        <w:spacing w:after="120"/>
      </w:pPr>
      <w:r>
        <w:rPr>
          <w:rFonts w:ascii="Arial" w:cs="Arial" w:eastAsia="Arial" w:hAnsi="Arial"/>
          <w:b/>
          <w:bCs/>
          <w:color w:val="1A1A1A"/>
          <w:sz w:val="22"/>
          <w:szCs w:val="22"/>
        </w:rPr>
        <w:t xml:space="preserve">Royalty and Lease Provisions: </w:t>
      </w:r>
      <w:r>
        <w:rPr>
          <w:rFonts w:ascii="Arial" w:cs="Arial" w:eastAsia="Arial" w:hAnsi="Arial"/>
          <w:color w:val="4A4A4A"/>
          <w:sz w:val="22"/>
          <w:szCs w:val="22"/>
        </w:rPr>
        <w:t xml:space="preserve">Confirm that the mineral lease allows for on-lease gas consumption. Some leases require royalty payments on gas consumed on-lease for purposes other than production.</w:t>
      </w:r>
    </w:p>
    <w:p>
      <w:pPr>
        <w:pStyle w:val="ListParagraph"/>
        <w:numPr>
          <w:ilvl w:val="0"/>
          <w:numId w:val="2"/>
        </w:numPr>
        <w:spacing w:after="240"/>
      </w:pPr>
      <w:r>
        <w:rPr>
          <w:rFonts w:ascii="Arial" w:cs="Arial" w:eastAsia="Arial" w:hAnsi="Arial"/>
          <w:b/>
          <w:bCs/>
          <w:color w:val="1A1A1A"/>
          <w:sz w:val="22"/>
          <w:szCs w:val="22"/>
        </w:rPr>
        <w:t xml:space="preserve">TCEQ SB 700 Compliance: </w:t>
      </w:r>
      <w:r>
        <w:rPr>
          <w:rFonts w:ascii="Arial" w:cs="Arial" w:eastAsia="Arial" w:hAnsi="Arial"/>
          <w:color w:val="4A4A4A"/>
          <w:sz w:val="22"/>
          <w:szCs w:val="22"/>
        </w:rPr>
        <w:t xml:space="preserve">Review compliance with Texas’s enhanced methane monitoring requirements under SB 700 (2023). On-lease deployment may qualify for compliance credit.</w:t>
      </w:r>
    </w:p>
    <w:p>
      <w:pPr>
        <w:spacing w:before="0" w:after="80"/>
      </w:pPr>
      <w:r>
        <w:t xml:space="preserve"/>
      </w:r>
    </w:p>
    <w:p>
      <w:pPr>
        <w:pStyle w:val="Heading2"/>
        <w:spacing w:before="280" w:after="120"/>
      </w:pPr>
      <w:r>
        <w:rPr>
          <w:rFonts w:ascii="Arial" w:cs="Arial" w:eastAsia="Arial" w:hAnsi="Arial"/>
          <w:b/>
          <w:bCs/>
          <w:color w:val="1A1A1A"/>
          <w:sz w:val="24"/>
          <w:szCs w:val="24"/>
        </w:rPr>
        <w:t xml:space="preserve">5.2 North Dakota (NDIC)</w:t>
      </w:r>
    </w:p>
    <w:p>
      <w:pPr>
        <w:spacing w:before="0" w:after="180"/>
        <w:jc w:val="left"/>
      </w:pPr>
      <w:r>
        <w:rPr>
          <w:rFonts w:ascii="Arial" w:cs="Arial" w:eastAsia="Arial" w:hAnsi="Arial"/>
          <w:b w:val="false"/>
          <w:bCs w:val="false"/>
          <w:color w:val="4A4A4A"/>
          <w:sz w:val="22"/>
          <w:szCs w:val="22"/>
        </w:rPr>
        <w:t xml:space="preserve">North Dakota has significantly tightened flaring rules over the past decade under NDIC oversight. The state has moved from a 35% flare rate to a less than 5% target.</w:t>
      </w:r>
    </w:p>
    <w:p>
      <w:pPr>
        <w:pStyle w:val="ListParagraph"/>
        <w:numPr>
          <w:ilvl w:val="0"/>
          <w:numId w:val="2"/>
        </w:numPr>
        <w:spacing w:before="0" w:after="120"/>
      </w:pPr>
      <w:r>
        <w:rPr>
          <w:rFonts w:ascii="Arial" w:cs="Arial" w:eastAsia="Arial" w:hAnsi="Arial"/>
          <w:color w:val="4A4A4A"/>
          <w:sz w:val="22"/>
          <w:szCs w:val="22"/>
        </w:rPr>
        <w:t xml:space="preserve">NDIC Flaring Exception: Operators must hold a current NDIC flaring exception or be within the gas capture plan timeline. Deployment of on-lease compute can serve as documented progress toward the gas capture plan.</w:t>
      </w:r>
    </w:p>
    <w:p>
      <w:pPr>
        <w:pStyle w:val="ListParagraph"/>
        <w:numPr>
          <w:ilvl w:val="0"/>
          <w:numId w:val="2"/>
        </w:numPr>
        <w:spacing w:before="0" w:after="120"/>
      </w:pPr>
      <w:r>
        <w:rPr>
          <w:rFonts w:ascii="Arial" w:cs="Arial" w:eastAsia="Arial" w:hAnsi="Arial"/>
          <w:color w:val="4A4A4A"/>
          <w:sz w:val="22"/>
          <w:szCs w:val="22"/>
        </w:rPr>
        <w:t xml:space="preserve">NDIC Notification: When flaring ceases as a result of on-lease deployment, the NDIC should be notified in writing. This creates a documented record that supports permit renewal and demonstrates compliance progress.</w:t>
      </w:r>
    </w:p>
    <w:p>
      <w:pPr>
        <w:pStyle w:val="ListParagraph"/>
        <w:numPr>
          <w:ilvl w:val="0"/>
          <w:numId w:val="2"/>
        </w:numPr>
        <w:spacing w:before="0" w:after="120"/>
      </w:pPr>
      <w:r>
        <w:rPr>
          <w:rFonts w:ascii="Arial" w:cs="Arial" w:eastAsia="Arial" w:hAnsi="Arial"/>
          <w:color w:val="4A4A4A"/>
          <w:sz w:val="22"/>
          <w:szCs w:val="22"/>
        </w:rPr>
        <w:t xml:space="preserve">Air Quality Permit (ND DEQ): New generator installations require an Air Pollution Control permit from the ND DEQ. Standard permits for generators below 500 kW are typically processed within 30–45 days.</w:t>
      </w:r>
    </w:p>
    <w:p>
      <w:pPr>
        <w:pStyle w:val="ListParagraph"/>
        <w:numPr>
          <w:ilvl w:val="0"/>
          <w:numId w:val="2"/>
        </w:numPr>
        <w:spacing w:before="0" w:after="120"/>
      </w:pPr>
      <w:r>
        <w:rPr>
          <w:rFonts w:ascii="Arial" w:cs="Arial" w:eastAsia="Arial" w:hAnsi="Arial"/>
          <w:color w:val="4A4A4A"/>
          <w:sz w:val="22"/>
          <w:szCs w:val="22"/>
        </w:rPr>
        <w:t xml:space="preserve">Surface Rights: Confirm that the surface rights agreement allows for container placement and additional equipment on the pad site.</w:t>
      </w:r>
    </w:p>
    <w:p>
      <w:pPr>
        <w:spacing w:before="0" w:after="80"/>
      </w:pPr>
      <w:r>
        <w:t xml:space="preserve"/>
      </w:r>
    </w:p>
    <w:p>
      <w:pPr>
        <w:pStyle w:val="Heading2"/>
        <w:spacing w:before="280" w:after="120"/>
      </w:pPr>
      <w:r>
        <w:rPr>
          <w:rFonts w:ascii="Arial" w:cs="Arial" w:eastAsia="Arial" w:hAnsi="Arial"/>
          <w:b/>
          <w:bCs/>
          <w:color w:val="1A1A1A"/>
          <w:sz w:val="24"/>
          <w:szCs w:val="24"/>
        </w:rPr>
        <w:t xml:space="preserve">5.3 Colorado (COGCC / CDPHE)</w:t>
      </w:r>
    </w:p>
    <w:p>
      <w:pPr>
        <w:spacing w:before="0" w:after="180"/>
        <w:jc w:val="left"/>
      </w:pPr>
      <w:r>
        <w:rPr>
          <w:rFonts w:ascii="Arial" w:cs="Arial" w:eastAsia="Arial" w:hAnsi="Arial"/>
          <w:b w:val="false"/>
          <w:bCs w:val="false"/>
          <w:color w:val="4A4A4A"/>
          <w:sz w:val="22"/>
          <w:szCs w:val="22"/>
        </w:rPr>
        <w:t xml:space="preserve">Colorado has the most stringent flaring regulations in the country, driven by SB 181 (2019) and the subsequent COGCC rulemaking. Flaring in Colorado is tightly regulated, but the state’s near-1% flare rate means the problem manifests as curtailed and stranded gas rather than active flaring.</w:t>
      </w:r>
    </w:p>
    <w:p>
      <w:pPr>
        <w:pStyle w:val="ListParagraph"/>
        <w:numPr>
          <w:ilvl w:val="0"/>
          <w:numId w:val="2"/>
        </w:numPr>
        <w:spacing w:before="0" w:after="120"/>
      </w:pPr>
      <w:r>
        <w:rPr>
          <w:rFonts w:ascii="Arial" w:cs="Arial" w:eastAsia="Arial" w:hAnsi="Arial"/>
          <w:color w:val="4A4A4A"/>
          <w:sz w:val="22"/>
          <w:szCs w:val="22"/>
        </w:rPr>
        <w:t xml:space="preserve">COGCC Rule 902: Governs gas capture requirements. Operators must maintain COGCC-approved gas capture plans. On-lease deployment counts toward compliance.</w:t>
      </w:r>
    </w:p>
    <w:p>
      <w:pPr>
        <w:pStyle w:val="ListParagraph"/>
        <w:numPr>
          <w:ilvl w:val="0"/>
          <w:numId w:val="2"/>
        </w:numPr>
        <w:spacing w:before="0" w:after="120"/>
      </w:pPr>
      <w:r>
        <w:rPr>
          <w:rFonts w:ascii="Arial" w:cs="Arial" w:eastAsia="Arial" w:hAnsi="Arial"/>
          <w:color w:val="4A4A4A"/>
          <w:sz w:val="22"/>
          <w:szCs w:val="22"/>
        </w:rPr>
        <w:t xml:space="preserve">CDPHE Air Permit: Colorado air permits for stationary generators are required from CDPHE. A Minor Source Permit is typically sufficient for deployments below 500 kW.</w:t>
      </w:r>
    </w:p>
    <w:p>
      <w:pPr>
        <w:pStyle w:val="ListParagraph"/>
        <w:numPr>
          <w:ilvl w:val="0"/>
          <w:numId w:val="2"/>
        </w:numPr>
        <w:spacing w:before="0" w:after="120"/>
      </w:pPr>
      <w:r>
        <w:rPr>
          <w:rFonts w:ascii="Arial" w:cs="Arial" w:eastAsia="Arial" w:hAnsi="Arial"/>
          <w:color w:val="4A4A4A"/>
          <w:sz w:val="22"/>
          <w:szCs w:val="22"/>
        </w:rPr>
        <w:t xml:space="preserve">Setback Requirements: Colorado’s 2,000-foot setback requirement applies to new oil and gas facilities. Confirm that additional equipment at existing pad sites is not treated as a ‘new facility’ triggering setback review.</w:t>
      </w:r>
    </w:p>
    <w:p>
      <w:pPr>
        <w:pStyle w:val="ListParagraph"/>
        <w:numPr>
          <w:ilvl w:val="0"/>
          <w:numId w:val="2"/>
        </w:numPr>
        <w:spacing w:before="0" w:after="120"/>
      </w:pPr>
      <w:r>
        <w:rPr>
          <w:rFonts w:ascii="Arial" w:cs="Arial" w:eastAsia="Arial" w:hAnsi="Arial"/>
          <w:color w:val="4A4A4A"/>
          <w:sz w:val="22"/>
          <w:szCs w:val="22"/>
        </w:rPr>
        <w:t xml:space="preserve">Local Government Designation (LGD): In LGD areas (Weld County), local approval may be required for surface disturbance associated with container placement.</w:t>
      </w:r>
    </w:p>
    <w:p>
      <w:pPr>
        <w:spacing w:before="0" w:after="80"/>
      </w:pPr>
      <w:r>
        <w:t xml:space="preserve"/>
      </w:r>
    </w:p>
    <w:p>
      <w:pPr>
        <w:pStyle w:val="Heading2"/>
        <w:spacing w:before="280" w:after="120"/>
      </w:pPr>
      <w:r>
        <w:rPr>
          <w:rFonts w:ascii="Arial" w:cs="Arial" w:eastAsia="Arial" w:hAnsi="Arial"/>
          <w:b/>
          <w:bCs/>
          <w:color w:val="1A1A1A"/>
          <w:sz w:val="24"/>
          <w:szCs w:val="24"/>
        </w:rPr>
        <w:t xml:space="preserve">5.4 New Mexico (NMOCD / NMED)</w:t>
      </w:r>
    </w:p>
    <w:p>
      <w:pPr>
        <w:spacing w:before="0" w:after="180"/>
        <w:jc w:val="left"/>
      </w:pPr>
      <w:r>
        <w:rPr>
          <w:rFonts w:ascii="Arial" w:cs="Arial" w:eastAsia="Arial" w:hAnsi="Arial"/>
          <w:b w:val="false"/>
          <w:bCs w:val="false"/>
          <w:color w:val="4A4A4A"/>
          <w:sz w:val="22"/>
          <w:szCs w:val="22"/>
        </w:rPr>
        <w:t xml:space="preserve">New Mexico has enacted aggressive flaring reductions under Governor Lujan Grisham’s administration, with a target of near-zero routine flaring by 2026.</w:t>
      </w:r>
    </w:p>
    <w:p>
      <w:pPr>
        <w:pStyle w:val="ListParagraph"/>
        <w:numPr>
          <w:ilvl w:val="0"/>
          <w:numId w:val="2"/>
        </w:numPr>
        <w:spacing w:before="0" w:after="120"/>
      </w:pPr>
      <w:r>
        <w:rPr>
          <w:rFonts w:ascii="Arial" w:cs="Arial" w:eastAsia="Arial" w:hAnsi="Arial"/>
          <w:color w:val="4A4A4A"/>
          <w:sz w:val="22"/>
          <w:szCs w:val="22"/>
        </w:rPr>
        <w:t xml:space="preserve">NMOCD Rule 19.15.16: Governs oil and gas waste regulations, including flaring. Operators must document gas capture efforts and may face escalating penalties for continued flaring beyond regulatory thresholds.</w:t>
      </w:r>
    </w:p>
    <w:p>
      <w:pPr>
        <w:pStyle w:val="ListParagraph"/>
        <w:numPr>
          <w:ilvl w:val="0"/>
          <w:numId w:val="2"/>
        </w:numPr>
        <w:spacing w:before="0" w:after="120"/>
      </w:pPr>
      <w:r>
        <w:rPr>
          <w:rFonts w:ascii="Arial" w:cs="Arial" w:eastAsia="Arial" w:hAnsi="Arial"/>
          <w:color w:val="4A4A4A"/>
          <w:sz w:val="22"/>
          <w:szCs w:val="22"/>
        </w:rPr>
        <w:t xml:space="preserve">NMED Air Permit: New Mexico requires an Air Quality Bureau permit for stationary combustion sources. Processing times for minor permits range from 45–90 days.</w:t>
      </w:r>
    </w:p>
    <w:p>
      <w:pPr>
        <w:pStyle w:val="ListParagraph"/>
        <w:numPr>
          <w:ilvl w:val="0"/>
          <w:numId w:val="2"/>
        </w:numPr>
        <w:spacing w:before="0" w:after="120"/>
      </w:pPr>
      <w:r>
        <w:rPr>
          <w:rFonts w:ascii="Arial" w:cs="Arial" w:eastAsia="Arial" w:hAnsi="Arial"/>
          <w:color w:val="4A4A4A"/>
          <w:sz w:val="22"/>
          <w:szCs w:val="22"/>
        </w:rPr>
        <w:t xml:space="preserve">BLM Onshore Order No. 9: For federal or tribal leases, Bureau of Land Management requirements under Onshore Order No. 9 and the 2016 Methane and Waste Rule apply. Confirm lease type before proceeding.</w:t>
      </w:r>
    </w:p>
    <w:p>
      <w:pPr>
        <w:pStyle w:val="ListParagraph"/>
        <w:numPr>
          <w:ilvl w:val="0"/>
          <w:numId w:val="2"/>
        </w:numPr>
        <w:spacing w:before="0" w:after="120"/>
      </w:pPr>
      <w:r>
        <w:rPr>
          <w:rFonts w:ascii="Arial" w:cs="Arial" w:eastAsia="Arial" w:hAnsi="Arial"/>
          <w:color w:val="4A4A4A"/>
          <w:sz w:val="22"/>
          <w:szCs w:val="22"/>
        </w:rPr>
        <w:t xml:space="preserve">Gas Royalty: New Mexico has specific rules around royalty calculations for gas consumed on federal and state leases. Confirm treatment with legal counsel.</w:t>
      </w:r>
    </w:p>
    <w:p>
      <w:pPr>
        <w:spacing w:before="0" w:after="80"/>
      </w:pPr>
      <w:r>
        <w:t xml:space="preserve"/>
      </w:r>
    </w:p>
    <w:p>
      <w:pPr>
        <w:pStyle w:val="Heading2"/>
        <w:spacing w:before="280" w:after="120"/>
      </w:pPr>
      <w:r>
        <w:rPr>
          <w:rFonts w:ascii="Arial" w:cs="Arial" w:eastAsia="Arial" w:hAnsi="Arial"/>
          <w:b/>
          <w:bCs/>
          <w:color w:val="1A1A1A"/>
          <w:sz w:val="24"/>
          <w:szCs w:val="24"/>
        </w:rPr>
        <w:t xml:space="preserve">5.5 Wyoming (WOGCC / WDEQ)</w:t>
      </w:r>
    </w:p>
    <w:p>
      <w:pPr>
        <w:pStyle w:val="ListParagraph"/>
        <w:numPr>
          <w:ilvl w:val="0"/>
          <w:numId w:val="2"/>
        </w:numPr>
        <w:spacing w:before="0" w:after="120"/>
      </w:pPr>
      <w:r>
        <w:rPr>
          <w:rFonts w:ascii="Arial" w:cs="Arial" w:eastAsia="Arial" w:hAnsi="Arial"/>
          <w:color w:val="4A4A4A"/>
          <w:sz w:val="22"/>
          <w:szCs w:val="22"/>
        </w:rPr>
        <w:t xml:space="preserve">WOGCC Flaring Rules: Wyoming Oil and Gas Conservation Commission regulates flaring under Chapter 3, Section 40. Operators must apply for and maintain flaring authorization.</w:t>
      </w:r>
    </w:p>
    <w:p>
      <w:pPr>
        <w:pStyle w:val="ListParagraph"/>
        <w:numPr>
          <w:ilvl w:val="0"/>
          <w:numId w:val="2"/>
        </w:numPr>
        <w:spacing w:before="0" w:after="120"/>
      </w:pPr>
      <w:r>
        <w:rPr>
          <w:rFonts w:ascii="Arial" w:cs="Arial" w:eastAsia="Arial" w:hAnsi="Arial"/>
          <w:color w:val="4A4A4A"/>
          <w:sz w:val="22"/>
          <w:szCs w:val="22"/>
        </w:rPr>
        <w:t xml:space="preserve">WDEQ Air Quality Permit: The Wyoming DEQ requires a permit for stationary combustion sources. Permits for sources below 10 tons/year of criteria pollutants qualify as minor source permits with shorter review timelines.</w:t>
      </w:r>
    </w:p>
    <w:p>
      <w:pPr>
        <w:pStyle w:val="ListParagraph"/>
        <w:numPr>
          <w:ilvl w:val="0"/>
          <w:numId w:val="2"/>
        </w:numPr>
        <w:spacing w:before="0" w:after="120"/>
      </w:pPr>
      <w:r>
        <w:rPr>
          <w:rFonts w:ascii="Arial" w:cs="Arial" w:eastAsia="Arial" w:hAnsi="Arial"/>
          <w:color w:val="4A4A4A"/>
          <w:sz w:val="22"/>
          <w:szCs w:val="22"/>
        </w:rPr>
        <w:t xml:space="preserve">Royalty Treatment: Wyoming has specific rules for royalty calculation on on-lease gas consumption. Confirm with the Wyoming State Lands and Investments office for state leases.</w:t>
      </w:r>
    </w:p>
    <w:p>
      <w:pPr>
        <w:pStyle w:val="ListParagraph"/>
        <w:numPr>
          <w:ilvl w:val="0"/>
          <w:numId w:val="2"/>
        </w:numPr>
        <w:spacing w:before="0" w:after="120"/>
      </w:pPr>
      <w:r>
        <w:rPr>
          <w:rFonts w:ascii="Arial" w:cs="Arial" w:eastAsia="Arial" w:hAnsi="Arial"/>
          <w:color w:val="4A4A4A"/>
          <w:sz w:val="22"/>
          <w:szCs w:val="22"/>
        </w:rPr>
        <w:t xml:space="preserve">Winter Operations: Wyoming’s climate requires cold-weather planning for genset startup, ASIC container insulation, and battery backup for control systems.</w:t>
      </w:r>
    </w:p>
    <w:p>
      <w:pPr>
        <w:pStyle w:val="Heading1"/>
        <w:pBdr>
          <w:bottom w:val="single" w:color="F97316" w:sz="3"/>
        </w:pBdr>
        <w:spacing w:before="400" w:after="160"/>
      </w:pPr>
      <w:r>
        <w:rPr>
          <w:rFonts w:ascii="Arial" w:cs="Arial" w:eastAsia="Arial" w:hAnsi="Arial"/>
          <w:b/>
          <w:bCs/>
          <w:color w:val="0A0A0A"/>
          <w:sz w:val="28"/>
          <w:szCs w:val="28"/>
        </w:rPr>
        <w:t xml:space="preserve">6. Deal Structures: Four Ways to Participate</w:t>
      </w:r>
    </w:p>
    <w:p>
      <w:pPr>
        <w:spacing w:before="0" w:after="180"/>
        <w:jc w:val="left"/>
      </w:pPr>
      <w:r>
        <w:rPr>
          <w:rFonts w:ascii="Arial" w:cs="Arial" w:eastAsia="Arial" w:hAnsi="Arial"/>
          <w:b w:val="false"/>
          <w:bCs w:val="false"/>
          <w:color w:val="4A4A4A"/>
          <w:sz w:val="22"/>
          <w:szCs w:val="22"/>
        </w:rPr>
        <w:t xml:space="preserve">MCF.digital offers four distinct commercial structures to accommodate operators and investors with different risk tolerances, capital availability, and Bitcoin exposure preferences.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40"/>
        <w:gridCol w:w="2460"/>
        <w:gridCol w:w="2460"/>
      </w:tblGrid>
      <w:tr>
        <w:tc>
          <w:tcPr>
            <w:tcW w:type="dxa" w:w="18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Structure</w:t>
            </w:r>
          </w:p>
        </w:tc>
        <w:tc>
          <w:tcPr>
            <w:tcW w:type="dxa" w:w="264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How It Works</w:t>
            </w:r>
          </w:p>
        </w:tc>
        <w:tc>
          <w:tcPr>
            <w:tcW w:type="dxa" w:w="24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Operator Earns</w:t>
            </w:r>
          </w:p>
        </w:tc>
        <w:tc>
          <w:tcPr>
            <w:tcW w:type="dxa" w:w="24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Operator Risks</w:t>
            </w:r>
          </w:p>
        </w:tc>
      </w:tr>
      <w:tr>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Pure Hosting</w:t>
            </w:r>
          </w:p>
        </w:tc>
        <w:tc>
          <w:tcPr>
            <w:tcW w:type="dxa" w:w="26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Operator provides gas and site; MCF.digital provides all CapEx, equipment, and operations. Operator earns a fixed $/Mcf or $/kWh gas rate.</w:t>
            </w:r>
          </w:p>
        </w:tc>
        <w:tc>
          <w:tcPr>
            <w:tcW w:type="dxa" w:w="24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Fixed gas revenue. No BTC exposure.</w:t>
            </w:r>
          </w:p>
        </w:tc>
        <w:tc>
          <w:tcPr>
            <w:tcW w:type="dxa" w:w="24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Gas production risk only. No BTC downside.</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Revenue Share</w:t>
            </w:r>
          </w:p>
        </w:tc>
        <w:tc>
          <w:tcPr>
            <w:tcW w:type="dxa" w:w="26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Operator contributes gas and site; MCF.digital provides CapEx and ops. Revenue split proportionally (e.g., 70/30 miner/operator).</w:t>
            </w:r>
          </w:p>
        </w:tc>
        <w:tc>
          <w:tcPr>
            <w:tcW w:type="dxa" w:w="24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 of BTC mined. Upside in bull market.</w:t>
            </w:r>
          </w:p>
        </w:tc>
        <w:tc>
          <w:tcPr>
            <w:tcW w:type="dxa" w:w="24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BTC price exposure on operator share.</w:t>
            </w:r>
          </w:p>
        </w:tc>
      </w:tr>
      <w:tr>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Operator Mines Directly</w:t>
            </w:r>
          </w:p>
        </w:tc>
        <w:tc>
          <w:tcPr>
            <w:tcW w:type="dxa" w:w="26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Operator provides gas, site, and CapEx. MCF.digital provides equipment, installation, and OpEx management under service agreement.</w:t>
            </w:r>
          </w:p>
        </w:tc>
        <w:tc>
          <w:tcPr>
            <w:tcW w:type="dxa" w:w="24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100% of BTC mined, net of service fee.</w:t>
            </w:r>
          </w:p>
        </w:tc>
        <w:tc>
          <w:tcPr>
            <w:tcW w:type="dxa" w:w="24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Full BTC price and deployment execution risk.</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Capital Partner</w:t>
            </w:r>
          </w:p>
        </w:tc>
        <w:tc>
          <w:tcPr>
            <w:tcW w:type="dxa" w:w="26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HNWI or family office provides CapEx. Operator provides gas and site. MCF.digital operates. Revenue split three ways.</w:t>
            </w:r>
          </w:p>
        </w:tc>
        <w:tc>
          <w:tcPr>
            <w:tcW w:type="dxa" w:w="24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Gas value component of revenue share.</w:t>
            </w:r>
          </w:p>
        </w:tc>
        <w:tc>
          <w:tcPr>
            <w:tcW w:type="dxa" w:w="24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Minimal — gas production risk only.</w:t>
            </w:r>
          </w:p>
        </w:tc>
      </w:tr>
    </w:tbl>
    <w:p>
      <w:pPr>
        <w:spacing w:before="0" w:after="160"/>
      </w:pPr>
      <w:r>
        <w:t xml:space="preserve"/>
      </w:r>
    </w:p>
    <w:p>
      <w:pPr>
        <w:spacing w:before="0" w:after="180"/>
        <w:jc w:val="left"/>
      </w:pPr>
      <w:r>
        <w:rPr>
          <w:rFonts w:ascii="Arial" w:cs="Arial" w:eastAsia="Arial" w:hAnsi="Arial"/>
          <w:b w:val="false"/>
          <w:bCs w:val="false"/>
          <w:color w:val="4A4A4A"/>
          <w:sz w:val="22"/>
          <w:szCs w:val="22"/>
        </w:rPr>
        <w:t xml:space="preserve">For operators who cannot or do not want Bitcoin on their balance sheet, the pure hosting structure provides a USD-equivalent gas revenue stream with no BTC accounting exposure. The gas is effectively sold to MCF.digital at a rate equivalent to or above the pipeline netback.</w:t>
      </w:r>
    </w:p>
    <w:p>
      <w:pPr>
        <w:pStyle w:val="Heading1"/>
        <w:pBdr>
          <w:bottom w:val="single" w:color="F97316" w:sz="3"/>
        </w:pBdr>
        <w:spacing w:before="400" w:after="160"/>
      </w:pPr>
      <w:r>
        <w:rPr>
          <w:rFonts w:ascii="Arial" w:cs="Arial" w:eastAsia="Arial" w:hAnsi="Arial"/>
          <w:b/>
          <w:bCs/>
          <w:color w:val="0A0A0A"/>
          <w:sz w:val="28"/>
          <w:szCs w:val="28"/>
        </w:rPr>
        <w:t xml:space="preserve">7. Operations: What Happens After Day One</w:t>
      </w:r>
    </w:p>
    <w:p>
      <w:pPr>
        <w:pStyle w:val="Heading2"/>
        <w:spacing w:before="280" w:after="120"/>
      </w:pPr>
      <w:r>
        <w:rPr>
          <w:rFonts w:ascii="Arial" w:cs="Arial" w:eastAsia="Arial" w:hAnsi="Arial"/>
          <w:b/>
          <w:bCs/>
          <w:color w:val="1A1A1A"/>
          <w:sz w:val="24"/>
          <w:szCs w:val="24"/>
        </w:rPr>
        <w:t xml:space="preserve">7.1 Remote Monitoring</w:t>
      </w:r>
    </w:p>
    <w:p>
      <w:pPr>
        <w:spacing w:before="0" w:after="180"/>
        <w:jc w:val="left"/>
      </w:pPr>
      <w:r>
        <w:rPr>
          <w:rFonts w:ascii="Arial" w:cs="Arial" w:eastAsia="Arial" w:hAnsi="Arial"/>
          <w:b w:val="false"/>
          <w:bCs w:val="false"/>
          <w:color w:val="4A4A4A"/>
          <w:sz w:val="22"/>
          <w:szCs w:val="22"/>
        </w:rPr>
        <w:t xml:space="preserve">All MCF.digital deployments operate under 24/7 remote monitoring via ASIC management software and generator telemetry. Operators receive a monthly performance report that includes:</w:t>
      </w:r>
    </w:p>
    <w:p>
      <w:pPr>
        <w:pStyle w:val="ListParagraph"/>
        <w:numPr>
          <w:ilvl w:val="0"/>
          <w:numId w:val="2"/>
        </w:numPr>
        <w:spacing w:before="0" w:after="120"/>
      </w:pPr>
      <w:r>
        <w:rPr>
          <w:rFonts w:ascii="Arial" w:cs="Arial" w:eastAsia="Arial" w:hAnsi="Arial"/>
          <w:color w:val="4A4A4A"/>
          <w:sz w:val="22"/>
          <w:szCs w:val="22"/>
        </w:rPr>
        <w:t xml:space="preserve">Total hashrate produced and uptime percentage</w:t>
      </w:r>
    </w:p>
    <w:p>
      <w:pPr>
        <w:pStyle w:val="ListParagraph"/>
        <w:numPr>
          <w:ilvl w:val="0"/>
          <w:numId w:val="2"/>
        </w:numPr>
        <w:spacing w:before="0" w:after="120"/>
      </w:pPr>
      <w:r>
        <w:rPr>
          <w:rFonts w:ascii="Arial" w:cs="Arial" w:eastAsia="Arial" w:hAnsi="Arial"/>
          <w:color w:val="4A4A4A"/>
          <w:sz w:val="22"/>
          <w:szCs w:val="22"/>
        </w:rPr>
        <w:t xml:space="preserve">Gas consumed (Mcf) and power generated (kWh)</w:t>
      </w:r>
    </w:p>
    <w:p>
      <w:pPr>
        <w:pStyle w:val="ListParagraph"/>
        <w:numPr>
          <w:ilvl w:val="0"/>
          <w:numId w:val="2"/>
        </w:numPr>
        <w:spacing w:before="0" w:after="120"/>
      </w:pPr>
      <w:r>
        <w:rPr>
          <w:rFonts w:ascii="Arial" w:cs="Arial" w:eastAsia="Arial" w:hAnsi="Arial"/>
          <w:color w:val="4A4A4A"/>
          <w:sz w:val="22"/>
          <w:szCs w:val="22"/>
        </w:rPr>
        <w:t xml:space="preserve">Bitcoin mined and current USD equivalent at time of payout</w:t>
      </w:r>
    </w:p>
    <w:p>
      <w:pPr>
        <w:pStyle w:val="ListParagraph"/>
        <w:numPr>
          <w:ilvl w:val="0"/>
          <w:numId w:val="2"/>
        </w:numPr>
        <w:spacing w:before="0" w:after="120"/>
      </w:pPr>
      <w:r>
        <w:rPr>
          <w:rFonts w:ascii="Arial" w:cs="Arial" w:eastAsia="Arial" w:hAnsi="Arial"/>
          <w:color w:val="4A4A4A"/>
          <w:sz w:val="22"/>
          <w:szCs w:val="22"/>
        </w:rPr>
        <w:t xml:space="preserve">Any maintenance events and resolution timeline</w:t>
      </w:r>
    </w:p>
    <w:p>
      <w:pPr>
        <w:spacing w:before="0" w:after="80"/>
      </w:pPr>
      <w:r>
        <w:t xml:space="preserve"/>
      </w:r>
    </w:p>
    <w:p>
      <w:pPr>
        <w:pStyle w:val="Heading2"/>
        <w:spacing w:before="280" w:after="120"/>
      </w:pPr>
      <w:r>
        <w:rPr>
          <w:rFonts w:ascii="Arial" w:cs="Arial" w:eastAsia="Arial" w:hAnsi="Arial"/>
          <w:b/>
          <w:bCs/>
          <w:color w:val="1A1A1A"/>
          <w:sz w:val="24"/>
          <w:szCs w:val="24"/>
        </w:rPr>
        <w:t xml:space="preserve">7.2 Service and Maintenance</w:t>
      </w:r>
    </w:p>
    <w:p>
      <w:pPr>
        <w:spacing w:before="0" w:after="180"/>
        <w:jc w:val="left"/>
      </w:pPr>
      <w:r>
        <w:rPr>
          <w:rFonts w:ascii="Arial" w:cs="Arial" w:eastAsia="Arial" w:hAnsi="Arial"/>
          <w:b w:val="false"/>
          <w:bCs w:val="false"/>
          <w:color w:val="4A4A4A"/>
          <w:sz w:val="22"/>
          <w:szCs w:val="22"/>
        </w:rPr>
        <w:t xml:space="preserve">The biggest operational differentiator in field deployments is the service model. ASICs in field conditions — dust, temperature cycling, vibration — fail at higher rates than in climate-controlled data centers. MCF.digital’s service protocols include:</w:t>
      </w:r>
    </w:p>
    <w:p>
      <w:pPr>
        <w:pStyle w:val="ListParagraph"/>
        <w:numPr>
          <w:ilvl w:val="0"/>
          <w:numId w:val="2"/>
        </w:numPr>
        <w:spacing w:before="0" w:after="120"/>
      </w:pPr>
      <w:r>
        <w:rPr>
          <w:rFonts w:ascii="Arial" w:cs="Arial" w:eastAsia="Arial" w:hAnsi="Arial"/>
          <w:color w:val="4A4A4A"/>
          <w:sz w:val="22"/>
          <w:szCs w:val="22"/>
        </w:rPr>
        <w:t xml:space="preserve">Scheduled preventive maintenance visits every 30–60 days</w:t>
      </w:r>
    </w:p>
    <w:p>
      <w:pPr>
        <w:pStyle w:val="ListParagraph"/>
        <w:numPr>
          <w:ilvl w:val="0"/>
          <w:numId w:val="2"/>
        </w:numPr>
        <w:spacing w:before="0" w:after="120"/>
      </w:pPr>
      <w:r>
        <w:rPr>
          <w:rFonts w:ascii="Arial" w:cs="Arial" w:eastAsia="Arial" w:hAnsi="Arial"/>
          <w:color w:val="4A4A4A"/>
          <w:sz w:val="22"/>
          <w:szCs w:val="22"/>
        </w:rPr>
        <w:t xml:space="preserve">ASIC hash board replacement inventory maintained in regional depot</w:t>
      </w:r>
    </w:p>
    <w:p>
      <w:pPr>
        <w:pStyle w:val="ListParagraph"/>
        <w:numPr>
          <w:ilvl w:val="0"/>
          <w:numId w:val="2"/>
        </w:numPr>
        <w:spacing w:before="0" w:after="120"/>
      </w:pPr>
      <w:r>
        <w:rPr>
          <w:rFonts w:ascii="Arial" w:cs="Arial" w:eastAsia="Arial" w:hAnsi="Arial"/>
          <w:color w:val="4A4A4A"/>
          <w:sz w:val="22"/>
          <w:szCs w:val="22"/>
        </w:rPr>
        <w:t xml:space="preserve">Generator service coordinated with Cat or equivalent dealer network</w:t>
      </w:r>
    </w:p>
    <w:p>
      <w:pPr>
        <w:pStyle w:val="ListParagraph"/>
        <w:numPr>
          <w:ilvl w:val="0"/>
          <w:numId w:val="2"/>
        </w:numPr>
        <w:spacing w:before="0" w:after="120"/>
      </w:pPr>
      <w:r>
        <w:rPr>
          <w:rFonts w:ascii="Arial" w:cs="Arial" w:eastAsia="Arial" w:hAnsi="Arial"/>
          <w:color w:val="4A4A4A"/>
          <w:sz w:val="22"/>
          <w:szCs w:val="22"/>
        </w:rPr>
        <w:t xml:space="preserve">Remote reboot and configuration management capability for 95%+ of ASIC issues</w:t>
      </w:r>
    </w:p>
    <w:p>
      <w:pPr>
        <w:spacing w:before="0" w:after="80"/>
      </w:pPr>
      <w:r>
        <w:t xml:space="preserve"/>
      </w:r>
    </w:p>
    <w:p>
      <w:pPr>
        <w:pStyle w:val="Heading2"/>
        <w:spacing w:before="280" w:after="120"/>
      </w:pPr>
      <w:r>
        <w:rPr>
          <w:rFonts w:ascii="Arial" w:cs="Arial" w:eastAsia="Arial" w:hAnsi="Arial"/>
          <w:b/>
          <w:bCs/>
          <w:color w:val="1A1A1A"/>
          <w:sz w:val="24"/>
          <w:szCs w:val="24"/>
        </w:rPr>
        <w:t xml:space="preserve">7.3 Custody and Payout</w:t>
      </w:r>
    </w:p>
    <w:p>
      <w:pPr>
        <w:spacing w:before="0" w:after="180"/>
        <w:jc w:val="left"/>
      </w:pPr>
      <w:r>
        <w:rPr>
          <w:rFonts w:ascii="Arial" w:cs="Arial" w:eastAsia="Arial" w:hAnsi="Arial"/>
          <w:b w:val="false"/>
          <w:bCs w:val="false"/>
          <w:color w:val="4A4A4A"/>
          <w:sz w:val="22"/>
          <w:szCs w:val="22"/>
        </w:rPr>
        <w:t xml:space="preserve">Bitcoin payouts are made custody-first: the mined Bitcoin is distributed directly to the operator’s or capital partner’s designated wallet before any other distribution. Operators who elect USD settlement receive a monthly ACH payment calculated at the 30-day average BTC price. Clean monthly reporting is provided in PDF and CSV format.</w:t>
      </w:r>
    </w:p>
    <w:p>
      <w:pPr>
        <w:pStyle w:val="Heading1"/>
        <w:pBdr>
          <w:bottom w:val="single" w:color="F97316" w:sz="3"/>
        </w:pBdr>
        <w:spacing w:before="400" w:after="160"/>
      </w:pPr>
      <w:r>
        <w:rPr>
          <w:rFonts w:ascii="Arial" w:cs="Arial" w:eastAsia="Arial" w:hAnsi="Arial"/>
          <w:b/>
          <w:bCs/>
          <w:color w:val="0A0A0A"/>
          <w:sz w:val="28"/>
          <w:szCs w:val="28"/>
        </w:rPr>
        <w:t xml:space="preserve">8. References and Data Sources</w:t>
      </w:r>
    </w:p>
    <w:p>
      <w:pPr>
        <w:spacing w:before="0" w:after="180"/>
        <w:jc w:val="left"/>
      </w:pPr>
      <w:r>
        <w:rPr>
          <w:rFonts w:ascii="Arial" w:cs="Arial" w:eastAsia="Arial" w:hAnsi="Arial"/>
          <w:b w:val="false"/>
          <w:bCs w:val="false"/>
          <w:color w:val="4A4A4A"/>
          <w:sz w:val="22"/>
          <w:szCs w:val="22"/>
        </w:rPr>
        <w:t xml:space="preserve">All statistics and regulatory citations in this white paper are drawn from primary sources. Operators conducting due diligence are encouraged to consult these sources directly.</w:t>
      </w:r>
    </w:p>
    <w:p>
      <w:pPr>
        <w:spacing w:before="0" w:after="80"/>
      </w:pPr>
      <w:r>
        <w:t xml:space="preserve"/>
      </w:r>
    </w:p>
    <w:p>
      <w:pPr>
        <w:pStyle w:val="Heading2"/>
        <w:spacing w:before="280" w:after="120"/>
      </w:pPr>
      <w:r>
        <w:rPr>
          <w:rFonts w:ascii="Arial" w:cs="Arial" w:eastAsia="Arial" w:hAnsi="Arial"/>
          <w:b/>
          <w:bCs/>
          <w:color w:val="1A1A1A"/>
          <w:sz w:val="24"/>
          <w:szCs w:val="24"/>
        </w:rPr>
        <w:t xml:space="preserve">Regulatory Sources</w:t>
      </w:r>
    </w:p>
    <w:p>
      <w:pPr>
        <w:pStyle w:val="ListParagraph"/>
        <w:numPr>
          <w:ilvl w:val="0"/>
          <w:numId w:val="2"/>
        </w:numPr>
        <w:spacing w:before="0" w:after="120"/>
      </w:pPr>
      <w:r>
        <w:rPr>
          <w:rFonts w:ascii="Arial" w:cs="Arial" w:eastAsia="Arial" w:hAnsi="Arial"/>
          <w:color w:val="4A4A4A"/>
          <w:sz w:val="22"/>
          <w:szCs w:val="22"/>
        </w:rPr>
        <w:t xml:space="preserve">U.S. Environmental Protection Agency (EPA). “Cleaner Air: Oil and Natural Gas Methane Rules.” EPA.gov, 2023. https://www.epa.gov/controlling-air-pollution-oil-and-natural-gas-industry</w:t>
      </w:r>
    </w:p>
    <w:p>
      <w:pPr>
        <w:pStyle w:val="ListParagraph"/>
        <w:numPr>
          <w:ilvl w:val="0"/>
          <w:numId w:val="2"/>
        </w:numPr>
        <w:spacing w:before="0" w:after="120"/>
      </w:pPr>
      <w:r>
        <w:rPr>
          <w:rFonts w:ascii="Arial" w:cs="Arial" w:eastAsia="Arial" w:hAnsi="Arial"/>
          <w:color w:val="4A4A4A"/>
          <w:sz w:val="22"/>
          <w:szCs w:val="22"/>
        </w:rPr>
        <w:t xml:space="preserve">Texas Commission on Environmental Quality (TCEQ). “Air Quality Permits for Oil and Gas Sources.” TCEQ.texas.gov. https://www.tceq.texas.gov/airquality/permits</w:t>
      </w:r>
    </w:p>
    <w:p>
      <w:pPr>
        <w:pStyle w:val="ListParagraph"/>
        <w:numPr>
          <w:ilvl w:val="0"/>
          <w:numId w:val="2"/>
        </w:numPr>
        <w:spacing w:before="0" w:after="120"/>
      </w:pPr>
      <w:r>
        <w:rPr>
          <w:rFonts w:ascii="Arial" w:cs="Arial" w:eastAsia="Arial" w:hAnsi="Arial"/>
          <w:color w:val="4A4A4A"/>
          <w:sz w:val="22"/>
          <w:szCs w:val="22"/>
        </w:rPr>
        <w:t xml:space="preserve">Texas Railroad Commission. “Flaring Regulations and Data.” rrc.texas.gov. https://www.rrc.texas.gov/oil-gas/environmental-cleanup-programs/</w:t>
      </w:r>
    </w:p>
    <w:p>
      <w:pPr>
        <w:pStyle w:val="ListParagraph"/>
        <w:numPr>
          <w:ilvl w:val="0"/>
          <w:numId w:val="2"/>
        </w:numPr>
        <w:spacing w:before="0" w:after="120"/>
      </w:pPr>
      <w:r>
        <w:rPr>
          <w:rFonts w:ascii="Arial" w:cs="Arial" w:eastAsia="Arial" w:hAnsi="Arial"/>
          <w:color w:val="4A4A4A"/>
          <w:sz w:val="22"/>
          <w:szCs w:val="22"/>
        </w:rPr>
        <w:t xml:space="preserve">Colorado Oil and Gas Conservation Commission (COGCC). “Rule 902: Gas Capture Plan Requirements.” cogcc.state.co.us.</w:t>
      </w:r>
    </w:p>
    <w:p>
      <w:pPr>
        <w:pStyle w:val="ListParagraph"/>
        <w:numPr>
          <w:ilvl w:val="0"/>
          <w:numId w:val="2"/>
        </w:numPr>
        <w:spacing w:before="0" w:after="120"/>
      </w:pPr>
      <w:r>
        <w:rPr>
          <w:rFonts w:ascii="Arial" w:cs="Arial" w:eastAsia="Arial" w:hAnsi="Arial"/>
          <w:color w:val="4A4A4A"/>
          <w:sz w:val="22"/>
          <w:szCs w:val="22"/>
        </w:rPr>
        <w:t xml:space="preserve">North Dakota Industrial Commission (NDIC). “Gas Capture Compliance Summary.” ndic.nd.gov.</w:t>
      </w:r>
    </w:p>
    <w:p>
      <w:pPr>
        <w:pStyle w:val="ListParagraph"/>
        <w:numPr>
          <w:ilvl w:val="0"/>
          <w:numId w:val="2"/>
        </w:numPr>
        <w:spacing w:before="0" w:after="120"/>
      </w:pPr>
      <w:r>
        <w:rPr>
          <w:rFonts w:ascii="Arial" w:cs="Arial" w:eastAsia="Arial" w:hAnsi="Arial"/>
          <w:color w:val="4A4A4A"/>
          <w:sz w:val="22"/>
          <w:szCs w:val="22"/>
        </w:rPr>
        <w:t xml:space="preserve">New Mexico Oil Conservation Division (NMOCD). “Fracking and Flaring Rules.” emnrd.nm.gov.</w:t>
      </w:r>
    </w:p>
    <w:p>
      <w:pPr>
        <w:pStyle w:val="ListParagraph"/>
        <w:numPr>
          <w:ilvl w:val="0"/>
          <w:numId w:val="2"/>
        </w:numPr>
        <w:spacing w:before="0" w:after="120"/>
      </w:pPr>
      <w:r>
        <w:rPr>
          <w:rFonts w:ascii="Arial" w:cs="Arial" w:eastAsia="Arial" w:hAnsi="Arial"/>
          <w:color w:val="4A4A4A"/>
          <w:sz w:val="22"/>
          <w:szCs w:val="22"/>
        </w:rPr>
        <w:t xml:space="preserve">Wyoming Oil and Gas Conservation Commission (WOGCC). “Chapter 3, Section 40 — Flaring Regulations.” wogcc.wyo.gov.</w:t>
      </w:r>
    </w:p>
    <w:p>
      <w:pPr>
        <w:spacing w:before="0" w:after="80"/>
      </w:pPr>
      <w:r>
        <w:t xml:space="preserve"/>
      </w:r>
    </w:p>
    <w:p>
      <w:pPr>
        <w:pStyle w:val="Heading2"/>
        <w:spacing w:before="280" w:after="120"/>
      </w:pPr>
      <w:r>
        <w:rPr>
          <w:rFonts w:ascii="Arial" w:cs="Arial" w:eastAsia="Arial" w:hAnsi="Arial"/>
          <w:b/>
          <w:bCs/>
          <w:color w:val="1A1A1A"/>
          <w:sz w:val="24"/>
          <w:szCs w:val="24"/>
        </w:rPr>
        <w:t xml:space="preserve">Industry Data Sources</w:t>
      </w:r>
    </w:p>
    <w:p>
      <w:pPr>
        <w:pStyle w:val="ListParagraph"/>
        <w:numPr>
          <w:ilvl w:val="0"/>
          <w:numId w:val="2"/>
        </w:numPr>
        <w:spacing w:before="0" w:after="120"/>
      </w:pPr>
      <w:r>
        <w:rPr>
          <w:rFonts w:ascii="Arial" w:cs="Arial" w:eastAsia="Arial" w:hAnsi="Arial"/>
          <w:color w:val="4A4A4A"/>
          <w:sz w:val="22"/>
          <w:szCs w:val="22"/>
        </w:rPr>
        <w:t xml:space="preserve">World Bank Group. “Global Gas Flaring Tracker Report.” 2024. https://www.worldbank.org/en/programs/gasflaringreduction/global-flaring-data</w:t>
      </w:r>
    </w:p>
    <w:p>
      <w:pPr>
        <w:pStyle w:val="ListParagraph"/>
        <w:numPr>
          <w:ilvl w:val="0"/>
          <w:numId w:val="2"/>
        </w:numPr>
        <w:spacing w:before="0" w:after="120"/>
      </w:pPr>
      <w:r>
        <w:rPr>
          <w:rFonts w:ascii="Arial" w:cs="Arial" w:eastAsia="Arial" w:hAnsi="Arial"/>
          <w:color w:val="4A4A4A"/>
          <w:sz w:val="22"/>
          <w:szCs w:val="22"/>
        </w:rPr>
        <w:t xml:space="preserve">World Bank Zero Routine Flaring by 2030 Initiative. “Endorsers and Commitments.” https://www.worldbank.org/en/programs/zero-routine-flaring-by-2030</w:t>
      </w:r>
    </w:p>
    <w:p>
      <w:pPr>
        <w:pStyle w:val="ListParagraph"/>
        <w:numPr>
          <w:ilvl w:val="0"/>
          <w:numId w:val="2"/>
        </w:numPr>
        <w:spacing w:before="0" w:after="120"/>
      </w:pPr>
      <w:r>
        <w:rPr>
          <w:rFonts w:ascii="Arial" w:cs="Arial" w:eastAsia="Arial" w:hAnsi="Arial"/>
          <w:color w:val="4A4A4A"/>
          <w:sz w:val="22"/>
          <w:szCs w:val="22"/>
        </w:rPr>
        <w:t xml:space="preserve">U.S. Energy Information Administration (EIA). “Natural Gas Flaring Data by State.” EIA.gov. https://www.eia.gov/dnav/ng/ng_prod_sum_dc_NUS_mmcf_m.htm</w:t>
      </w:r>
    </w:p>
    <w:p>
      <w:pPr>
        <w:pStyle w:val="ListParagraph"/>
        <w:numPr>
          <w:ilvl w:val="0"/>
          <w:numId w:val="2"/>
        </w:numPr>
        <w:spacing w:before="0" w:after="120"/>
      </w:pPr>
      <w:r>
        <w:rPr>
          <w:rFonts w:ascii="Arial" w:cs="Arial" w:eastAsia="Arial" w:hAnsi="Arial"/>
          <w:color w:val="4A4A4A"/>
          <w:sz w:val="22"/>
          <w:szCs w:val="22"/>
        </w:rPr>
        <w:t xml:space="preserve">Rystad Energy. “Permian Basin Flaring Analysis.” 2024. (Licensed data; operators may request access through Rystad’s subscription services.)</w:t>
      </w:r>
    </w:p>
    <w:p>
      <w:pPr>
        <w:spacing w:before="0" w:after="80"/>
      </w:pPr>
      <w:r>
        <w:t xml:space="preserve"/>
      </w:r>
    </w:p>
    <w:p>
      <w:pPr>
        <w:pStyle w:val="Heading2"/>
        <w:spacing w:before="280" w:after="120"/>
      </w:pPr>
      <w:r>
        <w:rPr>
          <w:rFonts w:ascii="Arial" w:cs="Arial" w:eastAsia="Arial" w:hAnsi="Arial"/>
          <w:b/>
          <w:bCs/>
          <w:color w:val="1A1A1A"/>
          <w:sz w:val="24"/>
          <w:szCs w:val="24"/>
        </w:rPr>
        <w:t xml:space="preserve">Technical References</w:t>
      </w:r>
    </w:p>
    <w:p>
      <w:pPr>
        <w:pStyle w:val="ListParagraph"/>
        <w:numPr>
          <w:ilvl w:val="0"/>
          <w:numId w:val="2"/>
        </w:numPr>
        <w:spacing w:before="0" w:after="120"/>
      </w:pPr>
      <w:r>
        <w:rPr>
          <w:rFonts w:ascii="Arial" w:cs="Arial" w:eastAsia="Arial" w:hAnsi="Arial"/>
          <w:color w:val="4A4A4A"/>
          <w:sz w:val="22"/>
          <w:szCs w:val="22"/>
        </w:rPr>
        <w:t xml:space="preserve">Caterpillar Inc. “Application and Installation Guide: G3500 Series Gas Engines.” Cat.com.</w:t>
      </w:r>
    </w:p>
    <w:p>
      <w:pPr>
        <w:pStyle w:val="ListParagraph"/>
        <w:numPr>
          <w:ilvl w:val="0"/>
          <w:numId w:val="2"/>
        </w:numPr>
        <w:spacing w:before="0" w:after="120"/>
      </w:pPr>
      <w:r>
        <w:rPr>
          <w:rFonts w:ascii="Arial" w:cs="Arial" w:eastAsia="Arial" w:hAnsi="Arial"/>
          <w:color w:val="4A4A4A"/>
          <w:sz w:val="22"/>
          <w:szCs w:val="22"/>
        </w:rPr>
        <w:t xml:space="preserve">Brouwer, M. et al. “Methane Number Concepts for Natural Gas Engines.” SAE International Technical Paper. 2023.</w:t>
      </w:r>
    </w:p>
    <w:p>
      <w:pPr>
        <w:pStyle w:val="ListParagraph"/>
        <w:numPr>
          <w:ilvl w:val="0"/>
          <w:numId w:val="2"/>
        </w:numPr>
        <w:spacing w:before="0" w:after="120"/>
      </w:pPr>
      <w:r>
        <w:rPr>
          <w:rFonts w:ascii="Arial" w:cs="Arial" w:eastAsia="Arial" w:hAnsi="Arial"/>
          <w:color w:val="4A4A4A"/>
          <w:sz w:val="22"/>
          <w:szCs w:val="22"/>
        </w:rPr>
        <w:t xml:space="preserve">Bitcoin Visuals. “Hashprice Index.” hashrateindex.com (real-time hashprice data).</w:t>
      </w:r>
    </w:p>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F97316" w:sz="12"/>
              <w:left w:val="single" w:color="E0E0E0" w:sz="1"/>
              <w:bottom w:val="thick" w:color="F97316" w:sz="12"/>
              <w:right w:val="single" w:color="E0E0E0" w:sz="1"/>
            </w:tcBorders>
            <w:shd w:fill="1A1A1A" w:val="clear"/>
            <w:tcMar>
              <w:top w:type="dxa" w:w="280"/>
              <w:left w:type="dxa" w:w="360"/>
              <w:bottom w:type="dxa" w:w="280"/>
              <w:right w:type="dxa" w:w="360"/>
            </w:tcMar>
          </w:tcPr>
          <w:p>
            <w:pPr>
              <w:spacing w:before="0" w:after="120"/>
              <w:jc w:val="center"/>
            </w:pPr>
            <w:r>
              <w:rPr>
                <w:rFonts w:ascii="Arial" w:cs="Arial" w:eastAsia="Arial" w:hAnsi="Arial"/>
                <w:b/>
                <w:bCs/>
                <w:color w:val="FFFFFF"/>
                <w:sz w:val="32"/>
                <w:szCs w:val="32"/>
              </w:rPr>
              <w:t xml:space="preserve">Run the numbers on your pad.</w:t>
            </w:r>
          </w:p>
          <w:p>
            <w:pPr>
              <w:spacing w:before="0" w:after="200"/>
              <w:jc w:val="center"/>
            </w:pPr>
            <w:r>
              <w:rPr>
                <w:rFonts w:ascii="Arial" w:cs="Arial" w:eastAsia="Arial" w:hAnsi="Arial"/>
                <w:color w:val="D4D4D4"/>
                <w:sz w:val="22"/>
                <w:szCs w:val="22"/>
              </w:rPr>
              <w:t xml:space="preserve">Use the MCF.digital feasibility calculator to model your specific gas volumes, quality, and site conditions.</w:t>
            </w:r>
          </w:p>
          <w:p>
            <w:pPr>
              <w:spacing w:before="0" w:after="120"/>
              <w:jc w:val="center"/>
            </w:pPr>
            <w:r>
              <w:rPr>
                <w:rFonts w:ascii="Arial" w:cs="Arial" w:eastAsia="Arial" w:hAnsi="Arial"/>
                <w:b/>
                <w:bCs/>
                <w:color w:val="F97316"/>
                <w:sz w:val="28"/>
                <w:szCs w:val="28"/>
              </w:rPr>
              <w:t xml:space="preserve">tools.mcf.digital</w:t>
            </w:r>
          </w:p>
          <w:p>
            <w:pPr>
              <w:spacing w:before="0" w:after="0"/>
              <w:jc w:val="center"/>
            </w:pPr>
            <w:r>
              <w:rPr>
                <w:rFonts w:ascii="Arial" w:cs="Arial" w:eastAsia="Arial" w:hAnsi="Arial"/>
                <w:color w:val="D4D4D4"/>
                <w:sz w:val="22"/>
                <w:szCs w:val="22"/>
              </w:rPr>
              <w:t xml:space="preserve">Or book a 15-minute fit call to discuss your site directly with an MCF.digital engineer.</w:t>
            </w:r>
          </w:p>
        </w:tc>
      </w:tr>
    </w:tbl>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3"/>
      </w:pBdr>
      <w:spacing w:before="120" w:after="0"/>
    </w:pPr>
    <w:r>
      <w:rPr>
        <w:rFonts w:ascii="Arial" w:cs="Arial" w:eastAsia="Arial" w:hAnsi="Arial"/>
        <w:color w:val="4A4A4A"/>
        <w:sz w:val="18"/>
        <w:szCs w:val="18"/>
      </w:rPr>
      <w:t xml:space="preserve">© 2026 MCF.DIGITAL  ·  mcf.digital  ·  </w:t>
    </w:r>
    <w:r>
      <w:rPr>
        <w:rFonts w:ascii="Arial" w:cs="Arial" w:eastAsia="Arial" w:hAnsi="Arial"/>
        <w:color w:val="4A4A4A"/>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3"/>
      </w:pBdr>
      <w:spacing w:before="0" w:after="120"/>
    </w:pPr>
    <w:r>
      <w:rPr>
        <w:rFonts w:ascii="Arial" w:cs="Arial" w:eastAsia="Arial" w:hAnsi="Arial"/>
        <w:b/>
        <w:bCs/>
        <w:color w:val="F97316"/>
        <w:sz w:val="18"/>
        <w:szCs w:val="18"/>
      </w:rPr>
      <w:t xml:space="preserve">MCF.DIGITAL</w:t>
    </w:r>
    <w:r>
      <w:rPr>
        <w:rFonts w:ascii="Arial" w:cs="Arial" w:eastAsia="Arial" w:hAnsi="Arial"/>
        <w:color w:val="4A4A4A"/>
        <w:sz w:val="18"/>
        <w:szCs w:val="18"/>
      </w:rPr>
      <w:t xml:space="preserve">   |   Flare → Bitcoin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A0A0A"/>
      <w:sz w:val="28"/>
      <w:szCs w:val="28"/>
    </w:rPr>
  </w:style>
  <w:style w:type="paragraph" w:styleId="Heading2">
    <w:name w:val="Heading 2"/>
    <w:basedOn w:val="Normal"/>
    <w:next w:val="Normal"/>
    <w:qFormat/>
    <w:pPr>
      <w:spacing w:before="280" w:after="12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2026-02-27T12:38:28.737Z</dcterms:created>
  <dcterms:modified xsi:type="dcterms:W3CDTF">2026-02-27T12:38:28.738Z</dcterms:modified>
</cp:coreProperties>
</file>

<file path=docProps/custom.xml><?xml version="1.0" encoding="utf-8"?>
<Properties xmlns="http://schemas.openxmlformats.org/officeDocument/2006/custom-properties" xmlns:vt="http://schemas.openxmlformats.org/officeDocument/2006/docPropsVTypes"/>
</file>