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r>
        <w:t xml:space="preserve"/>
      </w:r>
    </w:p>
    <w:p>
      <w:pPr>
        <w:spacing w:after="80"/>
      </w:pPr>
      <w:r>
        <w:rPr>
          <w:rFonts w:ascii="Arial" w:cs="Arial" w:eastAsia="Arial" w:hAnsi="Arial"/>
          <w:b/>
          <w:bCs/>
          <w:color w:val="F97316"/>
          <w:sz w:val="64"/>
          <w:szCs w:val="64"/>
        </w:rPr>
        <w:t xml:space="preserve">MCF.DIGITAL</w:t>
      </w:r>
    </w:p>
    <w:p>
      <w:pPr>
        <w:spacing w:after="600"/>
      </w:pPr>
      <w:r>
        <w:rPr>
          <w:rFonts w:ascii="Arial" w:cs="Arial" w:eastAsia="Arial" w:hAnsi="Arial"/>
          <w:color w:val="4A4A4A"/>
          <w:sz w:val="22"/>
          <w:szCs w:val="22"/>
        </w:rPr>
        <w:t xml:space="preserve">White Paper  ·  WP-2  ·  2026</w:t>
      </w:r>
    </w:p>
    <w:p>
      <w:pPr>
        <w:spacing w:after="160"/>
      </w:pPr>
      <w:r>
        <w:rPr>
          <w:rFonts w:ascii="Arial" w:cs="Arial" w:eastAsia="Arial" w:hAnsi="Arial"/>
          <w:b/>
          <w:bCs/>
          <w:color w:val="0A0A0A"/>
          <w:sz w:val="56"/>
          <w:szCs w:val="56"/>
        </w:rPr>
        <w:t xml:space="preserve">Netback Fixer</w:t>
      </w:r>
    </w:p>
    <w:p>
      <w:pPr>
        <w:spacing w:after="200"/>
      </w:pPr>
      <w:r>
        <w:rPr>
          <w:rFonts w:ascii="Arial" w:cs="Arial" w:eastAsia="Arial" w:hAnsi="Arial"/>
          <w:b/>
          <w:bCs/>
          <w:color w:val="F97316"/>
          <w:sz w:val="36"/>
          <w:szCs w:val="36"/>
        </w:rPr>
        <w:t xml:space="preserve">The On-Lease Carve-Out Playbook</w:t>
      </w:r>
    </w:p>
    <w:p>
      <w:pPr>
        <w:spacing w:after="600"/>
      </w:pPr>
      <w:r>
        <w:rPr>
          <w:rFonts w:ascii="Arial" w:cs="Arial" w:eastAsia="Arial" w:hAnsi="Arial"/>
          <w:color w:val="4A4A4A"/>
          <w:sz w:val="26"/>
          <w:szCs w:val="26"/>
        </w:rPr>
        <w:t xml:space="preserve">How Operators Beat Pipeline Take-Home Without Breaking Their Midstream Contract</w:t>
      </w:r>
    </w:p>
    <w:p>
      <w:pPr>
        <w:pBdr>
          <w:bottom w:val="single" w:color="F97316" w:sz="4"/>
        </w:pBdr>
        <w:spacing w:before="0" w:after="240"/>
      </w:pPr>
      <w:r>
        <w:t xml:space="preserve"/>
      </w:r>
    </w:p>
    <w:p>
      <w:pPr>
        <w:spacing w:before="0" w:after="200"/>
      </w:pPr>
      <w:r>
        <w:t xml:space="preserve"/>
      </w:r>
    </w:p>
    <w:p>
      <w:pPr>
        <w:spacing w:after="1200"/>
      </w:pPr>
      <w:r>
        <w:rPr>
          <w:rFonts w:ascii="Arial" w:cs="Arial" w:eastAsia="Arial" w:hAnsi="Arial"/>
          <w:color w:val="4A4A4A"/>
          <w:sz w:val="22"/>
          <w:szCs w:val="22"/>
        </w:rPr>
        <w:t xml:space="preserve">Netback Comparison  ·  Four Deal Structures with Payout Math  ·  Volume Threshold Analysis  ·  Contract Clause Review</w:t>
      </w:r>
    </w:p>
    <w:p>
      <w:pPr>
        <w:spacing w:after="80"/>
      </w:pPr>
      <w:r>
        <w:rPr>
          <w:rFonts w:ascii="Arial" w:cs="Arial" w:eastAsia="Arial" w:hAnsi="Arial"/>
          <w:color w:val="1A1A1A"/>
          <w:sz w:val="22"/>
          <w:szCs w:val="22"/>
        </w:rPr>
        <w:t xml:space="preserve">For independent operators with marginal gas volumes, low-netback pads, or midstream contracts compressing take-home.</w:t>
      </w:r>
    </w:p>
    <w:p>
      <w:pPr>
        <w:spacing w:after="0"/>
      </w:pPr>
      <w:r>
        <w:rPr>
          <w:rFonts w:ascii="Arial" w:cs="Arial" w:eastAsia="Arial" w:hAnsi="Arial"/>
          <w:color w:val="F97316"/>
          <w:sz w:val="22"/>
          <w:szCs w:val="22"/>
        </w:rPr>
        <w:t xml:space="preserve">tools.mcf.digital  ·  mcf.digital</w:t>
      </w:r>
    </w:p>
    <w:p>
      <w:pPr>
        <w:spacing w:before="0" w:after="0"/>
      </w:pPr>
      <w:r>
        <w:br w:type="page"/>
      </w:r>
    </w:p>
    <w:p>
      <w:pPr>
        <w:pStyle w:val="Heading1"/>
        <w:pBdr>
          <w:bottom w:val="single" w:color="F97316" w:sz="3"/>
        </w:pBdr>
        <w:spacing w:before="440" w:after="160"/>
      </w:pPr>
      <w:r>
        <w:rPr>
          <w:rFonts w:ascii="Arial" w:cs="Arial" w:eastAsia="Arial" w:hAnsi="Arial"/>
          <w:b/>
          <w:bCs/>
          <w:color w:val="0A0A0A"/>
          <w:sz w:val="28"/>
          <w:szCs w:val="28"/>
        </w:rPr>
        <w:t xml:space="preserve">Executive Summary</w:t>
      </w:r>
    </w:p>
    <w:p>
      <w:pPr>
        <w:spacing w:before="0" w:after="180"/>
        <w:jc w:val="left"/>
      </w:pPr>
      <w:r>
        <w:rPr>
          <w:rFonts w:ascii="Arial" w:cs="Arial" w:eastAsia="Arial" w:hAnsi="Arial"/>
          <w:b w:val="false"/>
          <w:bCs w:val="false"/>
          <w:color w:val="4A4A4A"/>
          <w:sz w:val="22"/>
          <w:szCs w:val="22"/>
        </w:rPr>
        <w:t xml:space="preserve">Gas netback compression is one of the most persistent and least-discussed profit drains in the upstream oil and gas business. For operators with marginal gas volumes, remote pads, or legacy midstream contracts, the ‘take-home’ on associated gas after gathering, processing, and transportation fees can fall to a fraction of the headline Henry Hub price—or turn negative outright.</w:t>
      </w:r>
    </w:p>
    <w:p>
      <w:pPr>
        <w:spacing w:before="0" w:after="180"/>
        <w:jc w:val="left"/>
      </w:pPr>
      <w:r>
        <w:rPr>
          <w:rFonts w:ascii="Arial" w:cs="Arial" w:eastAsia="Arial" w:hAnsi="Arial"/>
          <w:b w:val="false"/>
          <w:bCs w:val="false"/>
          <w:color w:val="4A4A4A"/>
          <w:sz w:val="22"/>
          <w:szCs w:val="22"/>
        </w:rPr>
        <w:t xml:space="preserve">The on-lease carve-out is a structural fix, not a negotiating tactic. By redirecting a portion of the wellhead gas stream to an on-site generator and Bitcoin mining system, operators can capture full wellhead value on that volume—bypassing every layer of midstream deduction. The result is a direct improvement in gas netback on the carved-out volume, with no pipeline contract renegotiation required.</w:t>
      </w:r>
    </w:p>
    <w:p>
      <w:pPr>
        <w:spacing w:before="0" w:after="180"/>
        <w:jc w:val="left"/>
      </w:pPr>
      <w:r>
        <w:rPr>
          <w:rFonts w:ascii="Arial" w:cs="Arial" w:eastAsia="Arial" w:hAnsi="Arial"/>
          <w:b w:val="false"/>
          <w:bCs w:val="false"/>
          <w:color w:val="4A4A4A"/>
          <w:sz w:val="22"/>
          <w:szCs w:val="22"/>
        </w:rPr>
        <w:t xml:space="preserve">This white paper provides operators with four things: (1) a fully worked netback comparison showing the economics of pipeline take-home versus on-lease power, (2) the payout math for all four available deal structures, (3) a minimum volume threshold analysis across three gas price scenarios, and (4) a practical review of the specific midstream contract clauses that either block or enable a carve-out.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thick" w:color="F97316" w:sz="8"/>
              <w:left w:val="thick" w:color="F97316" w:sz="8"/>
              <w:bottom w:val="single" w:color="E0E0E0" w:sz="1"/>
              <w:right w:val="single" w:color="E0E0E0" w:sz="1"/>
            </w:tcBorders>
            <w:shd w:fill="FFF7ED" w:val="clear"/>
            <w:tcMar>
              <w:top w:type="dxa" w:w="120"/>
              <w:left w:type="dxa" w:w="200"/>
              <w:bottom w:type="dxa" w:w="120"/>
              <w:right w:type="dxa" w:w="200"/>
            </w:tcMar>
          </w:tcPr>
          <w:p>
            <w:pPr>
              <w:spacing w:before="0" w:after="60"/>
            </w:pPr>
            <w:r>
              <w:rPr>
                <w:rFonts w:ascii="Arial" w:cs="Arial" w:eastAsia="Arial" w:hAnsi="Arial"/>
                <w:b/>
                <w:bCs/>
                <w:color w:val="F97316"/>
                <w:sz w:val="20"/>
                <w:szCs w:val="20"/>
              </w:rPr>
              <w:t xml:space="preserve">The Core Thesis</w:t>
            </w:r>
          </w:p>
          <w:p>
            <w:pPr>
              <w:spacing w:before="0" w:after="0"/>
            </w:pPr>
            <w:r>
              <w:rPr>
                <w:rFonts w:ascii="Arial" w:cs="Arial" w:eastAsia="Arial" w:hAnsi="Arial"/>
                <w:color w:val="1A1A1A"/>
                <w:sz w:val="21"/>
                <w:szCs w:val="21"/>
              </w:rPr>
              <w:t xml:space="preserve">An operator’s midstream contract sets the price for gas sold to the pipeline. It does not set the price for gas consumed on the operator’s own lease for production purposes. The on-lease carve-out exploits this structural gap—legally, efficiently, and without renegotiation.</w:t>
            </w:r>
          </w:p>
        </w:tc>
      </w:tr>
    </w:tbl>
    <w:p>
      <w:pPr>
        <w:pStyle w:val="Heading1"/>
        <w:pBdr>
          <w:bottom w:val="single" w:color="F97316" w:sz="3"/>
        </w:pBdr>
        <w:spacing w:before="440" w:after="160"/>
      </w:pPr>
      <w:r>
        <w:rPr>
          <w:rFonts w:ascii="Arial" w:cs="Arial" w:eastAsia="Arial" w:hAnsi="Arial"/>
          <w:b/>
          <w:bCs/>
          <w:color w:val="0A0A0A"/>
          <w:sz w:val="28"/>
          <w:szCs w:val="28"/>
        </w:rPr>
        <w:t xml:space="preserve">1. The Netback Problem: How Midstream Compresses Operator Economics</w:t>
      </w:r>
    </w:p>
    <w:p>
      <w:pPr>
        <w:pStyle w:val="Heading2"/>
        <w:spacing w:before="300" w:after="120"/>
      </w:pPr>
      <w:r>
        <w:rPr>
          <w:rFonts w:ascii="Arial" w:cs="Arial" w:eastAsia="Arial" w:hAnsi="Arial"/>
          <w:b/>
          <w:bCs/>
          <w:color w:val="1A1A1A"/>
          <w:sz w:val="24"/>
          <w:szCs w:val="24"/>
        </w:rPr>
        <w:t xml:space="preserve">1.1 What Is Gas Netback?</w:t>
      </w:r>
    </w:p>
    <w:p>
      <w:pPr>
        <w:spacing w:before="0" w:after="180"/>
        <w:jc w:val="left"/>
      </w:pPr>
      <w:r>
        <w:rPr>
          <w:rFonts w:ascii="Arial" w:cs="Arial" w:eastAsia="Arial" w:hAnsi="Arial"/>
          <w:b w:val="false"/>
          <w:bCs w:val="false"/>
          <w:color w:val="4A4A4A"/>
          <w:sz w:val="22"/>
          <w:szCs w:val="22"/>
        </w:rPr>
        <w:t xml:space="preserve">Gas netback is the revenue an operator receives at the wellhead for each Mcf of natural gas produced, after all downstream costs have been deducted. The formula is straightforward: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F97316" w:sz="6"/>
              <w:left w:val="single" w:color="E0E0E0" w:sz="1"/>
              <w:bottom w:val="thick" w:color="F97316" w:sz="6"/>
              <w:right w:val="single" w:color="E0E0E0" w:sz="1"/>
            </w:tcBorders>
            <w:shd w:fill="F5F5F5" w:val="clear"/>
            <w:tcMar>
              <w:top w:type="dxa" w:w="140"/>
              <w:left w:type="dxa" w:w="240"/>
              <w:bottom w:type="dxa" w:w="140"/>
              <w:right w:type="dxa" w:w="240"/>
            </w:tcMar>
          </w:tcPr>
          <w:p>
            <w:pPr>
              <w:spacing w:after="0"/>
              <w:jc w:val="center"/>
            </w:pPr>
            <w:r>
              <w:rPr>
                <w:rFonts w:ascii="Arial" w:cs="Arial" w:eastAsia="Arial" w:hAnsi="Arial"/>
                <w:b/>
                <w:bCs/>
                <w:color w:val="1A1A1A"/>
                <w:sz w:val="24"/>
                <w:szCs w:val="24"/>
              </w:rPr>
              <w:t xml:space="preserve">Netback = Wellhead Price − Gathering Fee − Processing Fee − Transportation Fee − Fuel Deduction − Shrink</w:t>
            </w:r>
          </w:p>
        </w:tc>
      </w:tr>
    </w:tbl>
    <w:p>
      <w:pPr>
        <w:spacing w:before="0" w:after="160"/>
      </w:pPr>
      <w:r>
        <w:t xml:space="preserve"/>
      </w:r>
    </w:p>
    <w:p>
      <w:pPr>
        <w:spacing w:before="0" w:after="180"/>
        <w:jc w:val="left"/>
      </w:pPr>
      <w:r>
        <w:rPr>
          <w:rFonts w:ascii="Arial" w:cs="Arial" w:eastAsia="Arial" w:hAnsi="Arial"/>
          <w:b w:val="false"/>
          <w:bCs w:val="false"/>
          <w:color w:val="4A4A4A"/>
          <w:sz w:val="22"/>
          <w:szCs w:val="22"/>
        </w:rPr>
        <w:t xml:space="preserve">In theory, a favorable Henry Hub price should translate to a profitable gas stream. In practice, each midstream layer erodes the take-home: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430"/>
        <w:gridCol w:w="2430"/>
      </w:tblGrid>
      <w:tr>
        <w:tc>
          <w:tcPr>
            <w:tcW w:type="dxa" w:w="45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Line Item</w:t>
            </w:r>
          </w:p>
        </w:tc>
        <w:tc>
          <w:tcPr>
            <w:tcW w:type="dxa" w:w="243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$/Mcf (Illustrative)</w:t>
            </w:r>
          </w:p>
        </w:tc>
        <w:tc>
          <w:tcPr>
            <w:tcW w:type="dxa" w:w="243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Cumulative Take-Home</w:t>
            </w:r>
          </w:p>
        </w:tc>
      </w:tr>
      <w:tr>
        <w:tc>
          <w:tcPr>
            <w:tcW w:type="dxa" w:w="4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Henry Hub Spot Price</w:t>
            </w:r>
          </w:p>
        </w:tc>
        <w:tc>
          <w:tcPr>
            <w:tcW w:type="dxa" w:w="24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$2.80</w:t>
            </w:r>
          </w:p>
        </w:tc>
        <w:tc>
          <w:tcPr>
            <w:tcW w:type="dxa" w:w="24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6A34A"/>
                <w:sz w:val="20"/>
                <w:szCs w:val="20"/>
              </w:rPr>
              <w:t xml:space="preserve">$2.80</w:t>
            </w:r>
          </w:p>
        </w:tc>
      </w:tr>
      <w:tr>
        <w:tc>
          <w:tcPr>
            <w:tcW w:type="dxa" w:w="4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Less: Gathering Fee</w:t>
            </w:r>
          </w:p>
        </w:tc>
        <w:tc>
          <w:tcPr>
            <w:tcW w:type="dxa" w:w="24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DC2626"/>
                <w:sz w:val="20"/>
                <w:szCs w:val="20"/>
              </w:rPr>
              <w:t xml:space="preserve">− $0.35</w:t>
            </w:r>
          </w:p>
        </w:tc>
        <w:tc>
          <w:tcPr>
            <w:tcW w:type="dxa" w:w="24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$2.45</w:t>
            </w:r>
          </w:p>
        </w:tc>
      </w:tr>
      <w:tr>
        <w:tc>
          <w:tcPr>
            <w:tcW w:type="dxa" w:w="4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Less: Processing Fee (wet gas)</w:t>
            </w:r>
          </w:p>
        </w:tc>
        <w:tc>
          <w:tcPr>
            <w:tcW w:type="dxa" w:w="24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DC2626"/>
                <w:sz w:val="20"/>
                <w:szCs w:val="20"/>
              </w:rPr>
              <w:t xml:space="preserve">− $0.45</w:t>
            </w:r>
          </w:p>
        </w:tc>
        <w:tc>
          <w:tcPr>
            <w:tcW w:type="dxa" w:w="24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$2.00</w:t>
            </w:r>
          </w:p>
        </w:tc>
      </w:tr>
      <w:tr>
        <w:tc>
          <w:tcPr>
            <w:tcW w:type="dxa" w:w="4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Less: Transportation / Firm Service</w:t>
            </w:r>
          </w:p>
        </w:tc>
        <w:tc>
          <w:tcPr>
            <w:tcW w:type="dxa" w:w="24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DC2626"/>
                <w:sz w:val="20"/>
                <w:szCs w:val="20"/>
              </w:rPr>
              <w:t xml:space="preserve">− $0.30</w:t>
            </w:r>
          </w:p>
        </w:tc>
        <w:tc>
          <w:tcPr>
            <w:tcW w:type="dxa" w:w="24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$1.70</w:t>
            </w:r>
          </w:p>
        </w:tc>
      </w:tr>
      <w:tr>
        <w:tc>
          <w:tcPr>
            <w:tcW w:type="dxa" w:w="4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Less: Fuel Deduction (2.5%)</w:t>
            </w:r>
          </w:p>
        </w:tc>
        <w:tc>
          <w:tcPr>
            <w:tcW w:type="dxa" w:w="24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DC2626"/>
                <w:sz w:val="20"/>
                <w:szCs w:val="20"/>
              </w:rPr>
              <w:t xml:space="preserve">− $0.07</w:t>
            </w:r>
          </w:p>
        </w:tc>
        <w:tc>
          <w:tcPr>
            <w:tcW w:type="dxa" w:w="24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$1.63</w:t>
            </w:r>
          </w:p>
        </w:tc>
      </w:tr>
      <w:tr>
        <w:tc>
          <w:tcPr>
            <w:tcW w:type="dxa" w:w="4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Less: Shrink / Liquid Recovery (5%)</w:t>
            </w:r>
          </w:p>
        </w:tc>
        <w:tc>
          <w:tcPr>
            <w:tcW w:type="dxa" w:w="24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DC2626"/>
                <w:sz w:val="20"/>
                <w:szCs w:val="20"/>
              </w:rPr>
              <w:t xml:space="preserve">− $0.14</w:t>
            </w:r>
          </w:p>
        </w:tc>
        <w:tc>
          <w:tcPr>
            <w:tcW w:type="dxa" w:w="24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$1.49</w:t>
            </w:r>
          </w:p>
        </w:tc>
      </w:tr>
      <w:tr>
        <w:tc>
          <w:tcPr>
            <w:tcW w:type="dxa" w:w="45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Operator Wellhead Netback</w:t>
            </w:r>
          </w:p>
        </w:tc>
        <w:tc>
          <w:tcPr>
            <w:tcW w:type="dxa" w:w="2430"/>
            <w:tcBorders>
              <w:top w:val="single" w:color="E0E0E0" w:sz="1"/>
              <w:left w:val="single" w:color="E0E0E0" w:sz="1"/>
              <w:bottom w:val="single" w:color="E0E0E0" w:sz="1"/>
              <w:right w:val="single" w:color="E0E0E0" w:sz="1"/>
            </w:tcBorders>
            <w:shd w:fill="DC26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 $1.31 (47%)</w:t>
            </w:r>
          </w:p>
        </w:tc>
        <w:tc>
          <w:tcPr>
            <w:tcW w:type="dxa" w:w="243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$1.49 / Mcf</w:t>
            </w:r>
          </w:p>
        </w:tc>
      </w:tr>
    </w:tbl>
    <w:p>
      <w:pPr>
        <w:spacing w:before="0" w:after="120"/>
      </w:pPr>
      <w:r>
        <w:t xml:space="preserve"/>
      </w:r>
    </w:p>
    <w:p>
      <w:pPr>
        <w:spacing w:before="0" w:after="180"/>
        <w:jc w:val="left"/>
      </w:pPr>
      <w:r>
        <w:rPr>
          <w:rFonts w:ascii="Arial" w:cs="Arial" w:eastAsia="Arial" w:hAnsi="Arial"/>
          <w:b w:val="false"/>
          <w:bCs w:val="false"/>
          <w:color w:val="4A4A4A"/>
          <w:sz w:val="22"/>
          <w:szCs w:val="22"/>
        </w:rPr>
        <w:t xml:space="preserve">In this example—representative of a mid-continent wet gas stream—the operator receives $1.49 for every Mcf that traded at $2.80 at the hub. Nearly half the commodity value is consumed by the midstream stack before the operator sees a dollar.</w:t>
      </w:r>
    </w:p>
    <w:p>
      <w:pPr>
        <w:spacing w:before="0" w:after="80"/>
      </w:pPr>
      <w:r>
        <w:t xml:space="preserve"/>
      </w:r>
    </w:p>
    <w:p>
      <w:pPr>
        <w:pStyle w:val="Heading2"/>
        <w:spacing w:before="300" w:after="120"/>
      </w:pPr>
      <w:r>
        <w:rPr>
          <w:rFonts w:ascii="Arial" w:cs="Arial" w:eastAsia="Arial" w:hAnsi="Arial"/>
          <w:b/>
          <w:bCs/>
          <w:color w:val="1A1A1A"/>
          <w:sz w:val="24"/>
          <w:szCs w:val="24"/>
        </w:rPr>
        <w:t xml:space="preserve">1.2 When Netback Turns Negative</w:t>
      </w:r>
    </w:p>
    <w:p>
      <w:pPr>
        <w:spacing w:before="0" w:after="180"/>
        <w:jc w:val="left"/>
      </w:pPr>
      <w:r>
        <w:rPr>
          <w:rFonts w:ascii="Arial" w:cs="Arial" w:eastAsia="Arial" w:hAnsi="Arial"/>
          <w:b w:val="false"/>
          <w:bCs w:val="false"/>
          <w:color w:val="4A4A4A"/>
          <w:sz w:val="22"/>
          <w:szCs w:val="22"/>
        </w:rPr>
        <w:t xml:space="preserve">The waterfall above assumes a $2.80 Henry Hub price. When hub prices fall—as they did for extended periods in 2023 and early 2024, with Henry Hub trading below $2.00/Mcf—the math inverts. At $1.80/Mcf, the same cost structure produces a negative netback: the operator loses money on every Mcf sent down the pipeline.</w:t>
      </w:r>
    </w:p>
    <w:p>
      <w:pPr>
        <w:spacing w:before="0" w:after="180"/>
        <w:jc w:val="left"/>
      </w:pPr>
      <w:r>
        <w:rPr>
          <w:rFonts w:ascii="Arial" w:cs="Arial" w:eastAsia="Arial" w:hAnsi="Arial"/>
          <w:b w:val="false"/>
          <w:bCs w:val="false"/>
          <w:color w:val="4A4A4A"/>
          <w:sz w:val="22"/>
          <w:szCs w:val="22"/>
        </w:rPr>
        <w:t xml:space="preserve">This is not a hypothetical scenario. Negative netbacks are a documented phenomenon for operators in high-gathering-cost basins during low-price environments. The response options are limited: shut in, pay to flare, or find an alternative buyer. The on-lease carve-out is that alternative.</w:t>
      </w:r>
    </w:p>
    <w:p>
      <w:pPr>
        <w:spacing w:before="0" w:after="80"/>
      </w:pPr>
      <w:r>
        <w:t xml:space="preserve"/>
      </w:r>
    </w:p>
    <w:p>
      <w:pPr>
        <w:pStyle w:val="Heading2"/>
        <w:spacing w:before="300" w:after="120"/>
      </w:pPr>
      <w:r>
        <w:rPr>
          <w:rFonts w:ascii="Arial" w:cs="Arial" w:eastAsia="Arial" w:hAnsi="Arial"/>
          <w:b/>
          <w:bCs/>
          <w:color w:val="1A1A1A"/>
          <w:sz w:val="24"/>
          <w:szCs w:val="24"/>
        </w:rPr>
        <w:t xml:space="preserve">1.3 The Minimum Volume Commitment Trap</w:t>
      </w:r>
    </w:p>
    <w:p>
      <w:pPr>
        <w:spacing w:before="0" w:after="180"/>
        <w:jc w:val="left"/>
      </w:pPr>
      <w:r>
        <w:rPr>
          <w:rFonts w:ascii="Arial" w:cs="Arial" w:eastAsia="Arial" w:hAnsi="Arial"/>
          <w:b w:val="false"/>
          <w:bCs w:val="false"/>
          <w:color w:val="4A4A4A"/>
          <w:sz w:val="22"/>
          <w:szCs w:val="22"/>
        </w:rPr>
        <w:t xml:space="preserve">For operators under midstream contracts with Minimum Volume Commitments (MVCs), the problem compounds. An MVC obligates the operator to deliver a minimum gas volume to the pipeline on a monthly or annual basis, regardless of the economics. Operators who fall short of their MVC pay a deficiency fee—sometimes equivalent to the full gathering rate on the shortfall volume.</w:t>
      </w:r>
    </w:p>
    <w:p>
      <w:pPr>
        <w:spacing w:before="0" w:after="180"/>
        <w:jc w:val="left"/>
      </w:pPr>
      <w:r>
        <w:rPr>
          <w:rFonts w:ascii="Arial" w:cs="Arial" w:eastAsia="Arial" w:hAnsi="Arial"/>
          <w:b w:val="false"/>
          <w:bCs w:val="false"/>
          <w:color w:val="4A4A4A"/>
          <w:sz w:val="22"/>
          <w:szCs w:val="22"/>
        </w:rPr>
        <w:t xml:space="preserve">This creates a perverse outcome: the operator cannot reduce their midstream volume below the MVC without incurring a fee, but the gas they are obligated to deliver is generating a negative netback. The carve-out resolves this tension only when the on-lease gas consumption volume is explicitly excluded from the MVC calculation. This is the central contract review question addressed in Section 4 of this white paper.</w:t>
      </w:r>
    </w:p>
    <w:p>
      <w:pPr>
        <w:pStyle w:val="Heading1"/>
        <w:pBdr>
          <w:bottom w:val="single" w:color="F97316" w:sz="3"/>
        </w:pBdr>
        <w:spacing w:before="440" w:after="160"/>
      </w:pPr>
      <w:r>
        <w:rPr>
          <w:rFonts w:ascii="Arial" w:cs="Arial" w:eastAsia="Arial" w:hAnsi="Arial"/>
          <w:b/>
          <w:bCs/>
          <w:color w:val="0A0A0A"/>
          <w:sz w:val="28"/>
          <w:szCs w:val="28"/>
        </w:rPr>
        <w:t xml:space="preserve">2. Fully Worked Netback Comparison: Pipeline vs. On-Lease Power</w:t>
      </w:r>
    </w:p>
    <w:p>
      <w:pPr>
        <w:spacing w:before="0" w:after="180"/>
        <w:jc w:val="left"/>
      </w:pPr>
      <w:r>
        <w:rPr>
          <w:rFonts w:ascii="Arial" w:cs="Arial" w:eastAsia="Arial" w:hAnsi="Arial"/>
          <w:b w:val="false"/>
          <w:bCs w:val="false"/>
          <w:color w:val="4A4A4A"/>
          <w:sz w:val="22"/>
          <w:szCs w:val="22"/>
        </w:rPr>
        <w:t xml:space="preserve">The following comparison models a representative West Texas Permian Basin operator with a 400 Mcf/day associated gas stream. The comparison shows the full economics of selling all gas to the pipeline versus carving out 250 Mcf/day for on-lease power generation.</w:t>
      </w:r>
    </w:p>
    <w:p>
      <w:pPr>
        <w:spacing w:before="0" w:after="80"/>
      </w:pPr>
      <w:r>
        <w:t xml:space="preserve"/>
      </w:r>
    </w:p>
    <w:p>
      <w:pPr>
        <w:pStyle w:val="Heading2"/>
        <w:spacing w:before="300" w:after="120"/>
      </w:pPr>
      <w:r>
        <w:rPr>
          <w:rFonts w:ascii="Arial" w:cs="Arial" w:eastAsia="Arial" w:hAnsi="Arial"/>
          <w:b/>
          <w:bCs/>
          <w:color w:val="1A1A1A"/>
          <w:sz w:val="24"/>
          <w:szCs w:val="24"/>
        </w:rPr>
        <w:t xml:space="preserve">2.1 Base Case: Sell All Gas to Pipeline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w:t>
            </w:r>
          </w:p>
        </w:tc>
        <w:tc>
          <w:tcPr>
            <w:tcW w:type="dxa" w:w="218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c>
          <w:tcPr>
            <w:tcW w:type="dxa" w:w="218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Monthly Basis</w:t>
            </w:r>
          </w:p>
        </w:tc>
      </w:tr>
      <w:tr>
        <w:tc>
          <w:tcPr>
            <w:tcW w:type="dxa" w:w="5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Total gas production</w:t>
            </w:r>
          </w:p>
        </w:tc>
        <w:tc>
          <w:tcPr>
            <w:tcW w:type="dxa" w:w="21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400 Mcf/day</w:t>
            </w:r>
          </w:p>
        </w:tc>
        <w:tc>
          <w:tcPr>
            <w:tcW w:type="dxa" w:w="21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12,000 Mcf/mo</w:t>
            </w:r>
          </w:p>
        </w:tc>
      </w:tr>
      <w:tr>
        <w:tc>
          <w:tcPr>
            <w:tcW w:type="dxa" w:w="5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Henry Hub realized price</w:t>
            </w:r>
          </w:p>
        </w:tc>
        <w:tc>
          <w:tcPr>
            <w:tcW w:type="dxa" w:w="21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$2.80/Mcf</w:t>
            </w:r>
          </w:p>
        </w:tc>
        <w:tc>
          <w:tcPr>
            <w:tcW w:type="dxa" w:w="21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r>
      <w:tr>
        <w:tc>
          <w:tcPr>
            <w:tcW w:type="dxa" w:w="5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Gathering fee</w:t>
            </w:r>
          </w:p>
        </w:tc>
        <w:tc>
          <w:tcPr>
            <w:tcW w:type="dxa" w:w="21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−$0.35/Mcf</w:t>
            </w:r>
          </w:p>
        </w:tc>
        <w:tc>
          <w:tcPr>
            <w:tcW w:type="dxa" w:w="21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r>
      <w:tr>
        <w:tc>
          <w:tcPr>
            <w:tcW w:type="dxa" w:w="5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Processing fee</w:t>
            </w:r>
          </w:p>
        </w:tc>
        <w:tc>
          <w:tcPr>
            <w:tcW w:type="dxa" w:w="21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−$0.45/Mcf</w:t>
            </w:r>
          </w:p>
        </w:tc>
        <w:tc>
          <w:tcPr>
            <w:tcW w:type="dxa" w:w="21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r>
      <w:tr>
        <w:tc>
          <w:tcPr>
            <w:tcW w:type="dxa" w:w="5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Transport / firm service</w:t>
            </w:r>
          </w:p>
        </w:tc>
        <w:tc>
          <w:tcPr>
            <w:tcW w:type="dxa" w:w="21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−$0.30/Mcf</w:t>
            </w:r>
          </w:p>
        </w:tc>
        <w:tc>
          <w:tcPr>
            <w:tcW w:type="dxa" w:w="21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r>
      <w:tr>
        <w:tc>
          <w:tcPr>
            <w:tcW w:type="dxa" w:w="5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Fuel + shrink deductions</w:t>
            </w:r>
          </w:p>
        </w:tc>
        <w:tc>
          <w:tcPr>
            <w:tcW w:type="dxa" w:w="21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−$0.21/Mcf</w:t>
            </w:r>
          </w:p>
        </w:tc>
        <w:tc>
          <w:tcPr>
            <w:tcW w:type="dxa" w:w="21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r>
      <w:tr>
        <w:tc>
          <w:tcPr>
            <w:tcW w:type="dxa" w:w="50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Net wellhead take-home</w:t>
            </w:r>
          </w:p>
        </w:tc>
        <w:tc>
          <w:tcPr>
            <w:tcW w:type="dxa" w:w="218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$1.49/Mcf</w:t>
            </w:r>
          </w:p>
        </w:tc>
        <w:tc>
          <w:tcPr>
            <w:tcW w:type="dxa" w:w="218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$17,880/mo</w:t>
            </w:r>
          </w:p>
        </w:tc>
      </w:tr>
    </w:tbl>
    <w:p>
      <w:pPr>
        <w:spacing w:before="0" w:after="160"/>
      </w:pPr>
      <w:r>
        <w:t xml:space="preserve"/>
      </w:r>
    </w:p>
    <w:p>
      <w:pPr>
        <w:pStyle w:val="Heading2"/>
        <w:spacing w:before="300" w:after="120"/>
      </w:pPr>
      <w:r>
        <w:rPr>
          <w:rFonts w:ascii="Arial" w:cs="Arial" w:eastAsia="Arial" w:hAnsi="Arial"/>
          <w:b/>
          <w:bCs/>
          <w:color w:val="1A1A1A"/>
          <w:sz w:val="24"/>
          <w:szCs w:val="24"/>
        </w:rPr>
        <w:t xml:space="preserve">2.2 Carve-Out Case: 250 Mcf/Day to On-Lease Generator</w:t>
      </w:r>
    </w:p>
    <w:p>
      <w:pPr>
        <w:spacing w:before="0" w:after="180"/>
        <w:jc w:val="left"/>
      </w:pPr>
      <w:r>
        <w:rPr>
          <w:rFonts w:ascii="Arial" w:cs="Arial" w:eastAsia="Arial" w:hAnsi="Arial"/>
          <w:b w:val="false"/>
          <w:bCs w:val="false"/>
          <w:color w:val="4A4A4A"/>
          <w:sz w:val="22"/>
          <w:szCs w:val="22"/>
        </w:rPr>
        <w:t xml:space="preserve">In this scenario, the operator redirects 250 Mcf/day to a 350 kW on-lease generator and retains the remaining 150 Mcf/day on the pipeline. The on-lease volume is valued at the full wellhead equivalent—bypassing all midstream deductions.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w:t>
            </w:r>
          </w:p>
        </w:tc>
        <w:tc>
          <w:tcPr>
            <w:tcW w:type="dxa" w:w="218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c>
          <w:tcPr>
            <w:tcW w:type="dxa" w:w="218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Monthly Basis</w:t>
            </w:r>
          </w:p>
        </w:tc>
      </w:tr>
      <w:tr>
        <w:tc>
          <w:tcPr>
            <w:tcW w:type="dxa" w:w="5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Gas to pipeline (remaining)</w:t>
            </w:r>
          </w:p>
        </w:tc>
        <w:tc>
          <w:tcPr>
            <w:tcW w:type="dxa" w:w="21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150 Mcf/day</w:t>
            </w:r>
          </w:p>
        </w:tc>
        <w:tc>
          <w:tcPr>
            <w:tcW w:type="dxa" w:w="21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4,500 Mcf/mo</w:t>
            </w:r>
          </w:p>
        </w:tc>
      </w:tr>
      <w:tr>
        <w:tc>
          <w:tcPr>
            <w:tcW w:type="dxa" w:w="5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Pipeline revenue (net of all fees)</w:t>
            </w:r>
          </w:p>
        </w:tc>
        <w:tc>
          <w:tcPr>
            <w:tcW w:type="dxa" w:w="21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$1.49/Mcf</w:t>
            </w:r>
          </w:p>
        </w:tc>
        <w:tc>
          <w:tcPr>
            <w:tcW w:type="dxa" w:w="21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$6,705/mo</w:t>
            </w:r>
          </w:p>
        </w:tc>
      </w:tr>
      <w:tr>
        <w:tc>
          <w:tcPr>
            <w:tcW w:type="dxa" w:w="5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Gas carved out to on-lease system</w:t>
            </w:r>
          </w:p>
        </w:tc>
        <w:tc>
          <w:tcPr>
            <w:tcW w:type="dxa" w:w="21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250 Mcf/day</w:t>
            </w:r>
          </w:p>
        </w:tc>
        <w:tc>
          <w:tcPr>
            <w:tcW w:type="dxa" w:w="21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7,500 Mcf/mo</w:t>
            </w:r>
          </w:p>
        </w:tc>
      </w:tr>
      <w:tr>
        <w:tc>
          <w:tcPr>
            <w:tcW w:type="dxa" w:w="5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On-lease gas value (wellhead equivalent)</w:t>
            </w:r>
          </w:p>
        </w:tc>
        <w:tc>
          <w:tcPr>
            <w:tcW w:type="dxa" w:w="21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$2.80/Mcf</w:t>
            </w:r>
          </w:p>
        </w:tc>
        <w:tc>
          <w:tcPr>
            <w:tcW w:type="dxa" w:w="21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r>
      <w:tr>
        <w:tc>
          <w:tcPr>
            <w:tcW w:type="dxa" w:w="5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Power generated (350 kW × 92% uptime)</w:t>
            </w:r>
          </w:p>
        </w:tc>
        <w:tc>
          <w:tcPr>
            <w:tcW w:type="dxa" w:w="21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7,728 kWh/day</w:t>
            </w:r>
          </w:p>
        </w:tc>
        <w:tc>
          <w:tcPr>
            <w:tcW w:type="dxa" w:w="21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231,840 kWh/mo</w:t>
            </w:r>
          </w:p>
        </w:tc>
      </w:tr>
      <w:tr>
        <w:tc>
          <w:tcPr>
            <w:tcW w:type="dxa" w:w="5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BTC mined (Base hashprice: $80/PH/d)</w:t>
            </w:r>
          </w:p>
        </w:tc>
        <w:tc>
          <w:tcPr>
            <w:tcW w:type="dxa" w:w="21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21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r>
      <w:tr>
        <w:tc>
          <w:tcPr>
            <w:tcW w:type="dxa" w:w="5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  — Effective $/kWh from mining (Base case)</w:t>
            </w:r>
          </w:p>
        </w:tc>
        <w:tc>
          <w:tcPr>
            <w:tcW w:type="dxa" w:w="21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$0.075/kWh</w:t>
            </w:r>
          </w:p>
        </w:tc>
        <w:tc>
          <w:tcPr>
            <w:tcW w:type="dxa" w:w="21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r>
      <w:tr>
        <w:tc>
          <w:tcPr>
            <w:tcW w:type="dxa" w:w="5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On-lease revenue (250 Mcf × ~$0.28/Mcf effective)</w:t>
            </w:r>
          </w:p>
        </w:tc>
        <w:tc>
          <w:tcPr>
            <w:tcW w:type="dxa" w:w="21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21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$12,800/mo*</w:t>
            </w:r>
          </w:p>
        </w:tc>
      </w:tr>
      <w:tr>
        <w:tc>
          <w:tcPr>
            <w:tcW w:type="dxa" w:w="5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Total operator revenue (pipeline + on-lease)</w:t>
            </w:r>
          </w:p>
        </w:tc>
        <w:tc>
          <w:tcPr>
            <w:tcW w:type="dxa" w:w="21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21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bCs/>
                <w:color w:val="16A34A"/>
                <w:sz w:val="20"/>
                <w:szCs w:val="20"/>
              </w:rPr>
              <w:t xml:space="preserve">$19,505/mo</w:t>
            </w:r>
          </w:p>
        </w:tc>
      </w:tr>
    </w:tbl>
    <w:p>
      <w:pPr>
        <w:spacing w:before="0" w:after="80"/>
      </w:pPr>
      <w:r>
        <w:t xml:space="preserve"/>
      </w:r>
    </w:p>
    <w:p>
      <w:pPr>
        <w:spacing w:before="0" w:after="80"/>
        <w:jc w:val="left"/>
      </w:pPr>
      <w:r>
        <w:rPr>
          <w:rFonts w:ascii="Arial" w:cs="Arial" w:eastAsia="Arial" w:hAnsi="Arial"/>
          <w:b w:val="false"/>
          <w:bCs w:val="false"/>
          <w:color w:val="4A4A4A"/>
          <w:sz w:val="22"/>
          <w:szCs w:val="22"/>
        </w:rPr>
        <w:t xml:space="preserve">*On-lease revenue in revenue-share structure (operator 30% share). See Section 3 for full deal structure payout math.</w:t>
      </w:r>
    </w:p>
    <w:p>
      <w:pPr>
        <w:spacing w:before="0" w:after="160"/>
      </w:pPr>
      <w:r>
        <w:t xml:space="preserve"/>
      </w:r>
    </w:p>
    <w:p>
      <w:pPr>
        <w:pStyle w:val="Heading2"/>
        <w:spacing w:before="300" w:after="120"/>
      </w:pPr>
      <w:r>
        <w:rPr>
          <w:rFonts w:ascii="Arial" w:cs="Arial" w:eastAsia="Arial" w:hAnsi="Arial"/>
          <w:b/>
          <w:bCs/>
          <w:color w:val="1A1A1A"/>
          <w:sz w:val="24"/>
          <w:szCs w:val="24"/>
        </w:rPr>
        <w:t xml:space="preserve">2.3 Comparison Summary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Scenario</w:t>
            </w:r>
          </w:p>
        </w:tc>
        <w:tc>
          <w:tcPr>
            <w:tcW w:type="dxa" w:w="258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Monthly Revenue</w:t>
            </w:r>
          </w:p>
        </w:tc>
        <w:tc>
          <w:tcPr>
            <w:tcW w:type="dxa" w:w="258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vs. All-Pipeline</w:t>
            </w:r>
          </w:p>
        </w:tc>
      </w:tr>
      <w:tr>
        <w:tc>
          <w:tcPr>
            <w:tcW w:type="dxa" w:w="4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All Gas to Pipeline (400 Mcf/d)</w:t>
            </w:r>
          </w:p>
        </w:tc>
        <w:tc>
          <w:tcPr>
            <w:tcW w:type="dxa" w:w="2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$17,880</w:t>
            </w:r>
          </w:p>
        </w:tc>
        <w:tc>
          <w:tcPr>
            <w:tcW w:type="dxa" w:w="2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Baseline</w:t>
            </w:r>
          </w:p>
        </w:tc>
      </w:tr>
      <w:tr>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Carve-Out 250 Mcf/d — Bear ($40/PH/d hashprice)</w:t>
            </w:r>
          </w:p>
        </w:tc>
        <w:tc>
          <w:tcPr>
            <w:tcW w:type="dxa" w:w="2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D97706"/>
                <w:sz w:val="20"/>
                <w:szCs w:val="20"/>
              </w:rPr>
              <w:t xml:space="preserve">$15,850</w:t>
            </w:r>
          </w:p>
        </w:tc>
        <w:tc>
          <w:tcPr>
            <w:tcW w:type="dxa" w:w="2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D97706"/>
                <w:sz w:val="20"/>
                <w:szCs w:val="20"/>
              </w:rPr>
              <w:t xml:space="preserve">−11%</w:t>
            </w:r>
          </w:p>
        </w:tc>
      </w:tr>
      <w:tr>
        <w:tc>
          <w:tcPr>
            <w:tcW w:type="dxa" w:w="4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Carve-Out 250 Mcf/d — Base ($80/PH/d hashprice)</w:t>
            </w:r>
          </w:p>
        </w:tc>
        <w:tc>
          <w:tcPr>
            <w:tcW w:type="dxa" w:w="2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6A34A"/>
                <w:sz w:val="20"/>
                <w:szCs w:val="20"/>
              </w:rPr>
              <w:t xml:space="preserve">$19,505</w:t>
            </w:r>
          </w:p>
        </w:tc>
        <w:tc>
          <w:tcPr>
            <w:tcW w:type="dxa" w:w="2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6A34A"/>
                <w:sz w:val="20"/>
                <w:szCs w:val="20"/>
              </w:rPr>
              <w:t xml:space="preserve">+9%</w:t>
            </w:r>
          </w:p>
        </w:tc>
      </w:tr>
      <w:tr>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Carve-Out 250 Mcf/d — Bull ($140/PH/d hashprice)</w:t>
            </w:r>
          </w:p>
        </w:tc>
        <w:tc>
          <w:tcPr>
            <w:tcW w:type="dxa" w:w="2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6A34A"/>
                <w:sz w:val="20"/>
                <w:szCs w:val="20"/>
              </w:rPr>
              <w:t xml:space="preserve">$26,340</w:t>
            </w:r>
          </w:p>
        </w:tc>
        <w:tc>
          <w:tcPr>
            <w:tcW w:type="dxa" w:w="2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6A34A"/>
                <w:sz w:val="20"/>
                <w:szCs w:val="20"/>
              </w:rPr>
              <w:t xml:space="preserve">+47%</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thick" w:color="F97316" w:sz="8"/>
              <w:left w:val="thick" w:color="F97316" w:sz="8"/>
              <w:bottom w:val="single" w:color="E0E0E0" w:sz="1"/>
              <w:right w:val="single" w:color="E0E0E0" w:sz="1"/>
            </w:tcBorders>
            <w:shd w:fill="FFF7ED" w:val="clear"/>
            <w:tcMar>
              <w:top w:type="dxa" w:w="120"/>
              <w:left w:type="dxa" w:w="200"/>
              <w:bottom w:type="dxa" w:w="120"/>
              <w:right w:type="dxa" w:w="200"/>
            </w:tcMar>
          </w:tcPr>
          <w:p>
            <w:pPr>
              <w:spacing w:before="0" w:after="60"/>
            </w:pPr>
            <w:r>
              <w:rPr>
                <w:rFonts w:ascii="Arial" w:cs="Arial" w:eastAsia="Arial" w:hAnsi="Arial"/>
                <w:b/>
                <w:bCs/>
                <w:color w:val="F97316"/>
                <w:sz w:val="20"/>
                <w:szCs w:val="20"/>
              </w:rPr>
              <w:t xml:space="preserve">Bear Case Context</w:t>
            </w:r>
          </w:p>
          <w:p>
            <w:pPr>
              <w:spacing w:before="0" w:after="0"/>
            </w:pPr>
            <w:r>
              <w:rPr>
                <w:rFonts w:ascii="Arial" w:cs="Arial" w:eastAsia="Arial" w:hAnsi="Arial"/>
                <w:color w:val="1A1A1A"/>
                <w:sz w:val="21"/>
                <w:szCs w:val="21"/>
              </w:rPr>
              <w:t xml:space="preserve">Even in the bear hashprice scenario ($40/PH/d, broadly equivalent to Bitcoin trading near $35,000–$45,000 with current network difficulty), the carve-out underperforms the all-pipeline scenario by only 11%. In this scenario, the operator’s gas-side floor value (what the gas would have earned at pipeline rates) provides a natural economic baseline. When Bitcoin price recovers, so does the upside—without any change to the operator’s infrastructure.</w:t>
            </w:r>
          </w:p>
        </w:tc>
      </w:tr>
    </w:tbl>
    <w:p>
      <w:pPr>
        <w:pStyle w:val="Heading1"/>
        <w:pBdr>
          <w:bottom w:val="single" w:color="F97316" w:sz="3"/>
        </w:pBdr>
        <w:spacing w:before="440" w:after="160"/>
      </w:pPr>
      <w:r>
        <w:rPr>
          <w:rFonts w:ascii="Arial" w:cs="Arial" w:eastAsia="Arial" w:hAnsi="Arial"/>
          <w:b/>
          <w:bCs/>
          <w:color w:val="0A0A0A"/>
          <w:sz w:val="28"/>
          <w:szCs w:val="28"/>
        </w:rPr>
        <w:t xml:space="preserve">3. Four Deal Structures: Payout Math for Each</w:t>
      </w:r>
    </w:p>
    <w:p>
      <w:pPr>
        <w:spacing w:before="0" w:after="180"/>
        <w:jc w:val="left"/>
      </w:pPr>
      <w:r>
        <w:rPr>
          <w:rFonts w:ascii="Arial" w:cs="Arial" w:eastAsia="Arial" w:hAnsi="Arial"/>
          <w:b w:val="false"/>
          <w:bCs w:val="false"/>
          <w:color w:val="4A4A4A"/>
          <w:sz w:val="22"/>
          <w:szCs w:val="22"/>
        </w:rPr>
        <w:t xml:space="preserve">MCF.digital offers four commercial structures for on-lease deployments. Each structure allocates capital, operating costs, and revenue differently—allowing operators and investors to match the structure to their risk tolerance, capital availability, and Bitcoin exposure preferences.</w:t>
      </w:r>
    </w:p>
    <w:p>
      <w:pPr>
        <w:spacing w:before="0" w:after="180"/>
        <w:jc w:val="left"/>
      </w:pPr>
      <w:r>
        <w:rPr>
          <w:rFonts w:ascii="Arial" w:cs="Arial" w:eastAsia="Arial" w:hAnsi="Arial"/>
          <w:b w:val="false"/>
          <w:bCs w:val="false"/>
          <w:color w:val="4A4A4A"/>
          <w:sz w:val="22"/>
          <w:szCs w:val="22"/>
        </w:rPr>
        <w:t xml:space="preserve">All payout math below uses the illustrative carve-out scenario from Section 2: 250 Mcf/day on-lease, 350 kW effective power, base hashprice of $80/PH/d, and 21 PH/s effective hashrate.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F97316" w:sz="6"/>
              <w:left w:val="single" w:color="E0E0E0" w:sz="1"/>
              <w:bottom w:val="thick" w:color="F97316" w:sz="6"/>
              <w:right w:val="single" w:color="E0E0E0" w:sz="1"/>
            </w:tcBorders>
            <w:shd w:fill="F5F5F5" w:val="clear"/>
            <w:tcMar>
              <w:top w:type="dxa" w:w="100"/>
              <w:left w:type="dxa" w:w="240"/>
              <w:bottom w:type="dxa" w:w="100"/>
              <w:right w:type="dxa" w:w="240"/>
            </w:tcMar>
          </w:tcPr>
          <w:p>
            <w:pPr>
              <w:spacing w:after="60"/>
            </w:pPr>
            <w:r>
              <w:rPr>
                <w:rFonts w:ascii="Arial" w:cs="Arial" w:eastAsia="Arial" w:hAnsi="Arial"/>
                <w:b/>
                <w:bCs/>
                <w:color w:val="1A1A1A"/>
                <w:sz w:val="20"/>
                <w:szCs w:val="20"/>
              </w:rPr>
              <w:t xml:space="preserve">Reference: Gross Monthly Revenue from 250 Mcf/d On-Lease Deployment</w:t>
            </w:r>
          </w:p>
          <w:p>
            <w:pPr>
              <w:spacing w:after="0"/>
            </w:pPr>
            <w:r>
              <w:rPr>
                <w:rFonts w:ascii="Arial" w:cs="Arial" w:eastAsia="Arial" w:hAnsi="Arial"/>
                <w:color w:val="4A4A4A"/>
                <w:sz w:val="20"/>
                <w:szCs w:val="20"/>
              </w:rPr>
              <w:t xml:space="preserve">Bear ($40/PH/d): ~$24,240/mo   |   Base ($80/PH/d): ~$48,480/mo   |   Bull ($140/PH/d): ~$84,840/mo</w:t>
            </w:r>
          </w:p>
        </w:tc>
      </w:tr>
    </w:tbl>
    <w:p>
      <w:pPr>
        <w:spacing w:before="0" w:after="200"/>
      </w:pPr>
      <w:r>
        <w:t xml:space="preserve"/>
      </w:r>
    </w:p>
    <w:p>
      <w:pPr>
        <w:pStyle w:val="Heading2"/>
        <w:spacing w:before="300" w:after="120"/>
      </w:pPr>
      <w:r>
        <w:rPr>
          <w:rFonts w:ascii="Arial" w:cs="Arial" w:eastAsia="Arial" w:hAnsi="Arial"/>
          <w:b/>
          <w:bCs/>
          <w:color w:val="1A1A1A"/>
          <w:sz w:val="24"/>
          <w:szCs w:val="24"/>
        </w:rPr>
        <w:t xml:space="preserve">Structure 1: Pure Hosting — Fixed Gas Rate</w:t>
      </w:r>
    </w:p>
    <w:p>
      <w:pPr>
        <w:spacing w:before="0" w:after="180"/>
        <w:jc w:val="left"/>
      </w:pPr>
      <w:r>
        <w:rPr>
          <w:rFonts w:ascii="Arial" w:cs="Arial" w:eastAsia="Arial" w:hAnsi="Arial"/>
          <w:b w:val="false"/>
          <w:bCs w:val="false"/>
          <w:color w:val="4A4A4A"/>
          <w:sz w:val="22"/>
          <w:szCs w:val="22"/>
        </w:rPr>
        <w:t xml:space="preserve">In a pure hosting structure, MCF.digital provides all capital, equipment, installation, and operations. The operator provides gas and site access and receives a fixed rate per Mcf consumed—effectively selling the gas to MCF.digital at a negotiated wellhead rate rather than to the pipeline.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Item</w:t>
            </w:r>
          </w:p>
        </w:tc>
        <w:tc>
          <w:tcPr>
            <w:tcW w:type="dxa" w:w="48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4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Who provides CapEx</w:t>
            </w:r>
          </w:p>
        </w:tc>
        <w:tc>
          <w:tcPr>
            <w:tcW w:type="dxa" w:w="4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MCF.digital (100%)</w:t>
            </w:r>
          </w:p>
        </w:tc>
      </w:tr>
      <w:tr>
        <w:tc>
          <w:tcPr>
            <w:tcW w:type="dxa" w:w="4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Operator contribution</w:t>
            </w:r>
          </w:p>
        </w:tc>
        <w:tc>
          <w:tcPr>
            <w:tcW w:type="dxa" w:w="4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Gas supply + site access</w:t>
            </w:r>
          </w:p>
        </w:tc>
      </w:tr>
      <w:tr>
        <w:tc>
          <w:tcPr>
            <w:tcW w:type="dxa" w:w="4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Operator payout rate</w:t>
            </w:r>
          </w:p>
        </w:tc>
        <w:tc>
          <w:tcPr>
            <w:tcW w:type="dxa" w:w="4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$1.80–$2.20/Mcf consumed (negotiated, guaranteed)</w:t>
            </w:r>
          </w:p>
        </w:tc>
      </w:tr>
      <w:tr>
        <w:tc>
          <w:tcPr>
            <w:tcW w:type="dxa" w:w="4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Monthly payout to operator</w:t>
            </w:r>
          </w:p>
        </w:tc>
        <w:tc>
          <w:tcPr>
            <w:tcW w:type="dxa" w:w="4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$1.80 × 7,500 Mcf = $13,500–$16,500/mo (fixed)</w:t>
            </w:r>
          </w:p>
        </w:tc>
      </w:tr>
      <w:tr>
        <w:tc>
          <w:tcPr>
            <w:tcW w:type="dxa" w:w="4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BTC exposure</w:t>
            </w:r>
          </w:p>
        </w:tc>
        <w:tc>
          <w:tcPr>
            <w:tcW w:type="dxa" w:w="4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6A34A"/>
                <w:sz w:val="20"/>
                <w:szCs w:val="20"/>
              </w:rPr>
              <w:t xml:space="preserve">None. Operator receives USD regardless of BTC price.</w:t>
            </w:r>
          </w:p>
        </w:tc>
      </w:tr>
      <w:tr>
        <w:tc>
          <w:tcPr>
            <w:tcW w:type="dxa" w:w="4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Operator upside/downside</w:t>
            </w:r>
          </w:p>
        </w:tc>
        <w:tc>
          <w:tcPr>
            <w:tcW w:type="dxa" w:w="4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None. Fixed rate provides certainty but no BTC upside.</w:t>
            </w:r>
          </w:p>
        </w:tc>
      </w:tr>
      <w:tr>
        <w:tc>
          <w:tcPr>
            <w:tcW w:type="dxa" w:w="4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Best fit for</w:t>
            </w:r>
          </w:p>
        </w:tc>
        <w:tc>
          <w:tcPr>
            <w:tcW w:type="dxa" w:w="4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Operators who want pipeline-replacement income with zero BTC exposure. CFOs resistant to crypto on the balance sheet.</w:t>
            </w:r>
          </w:p>
        </w:tc>
      </w:tr>
    </w:tbl>
    <w:p>
      <w:pPr>
        <w:spacing w:before="0" w:after="120"/>
      </w:pPr>
      <w:r>
        <w:t xml:space="preserve"/>
      </w:r>
    </w:p>
    <w:p>
      <w:pPr>
        <w:spacing w:before="0" w:after="180"/>
        <w:jc w:val="left"/>
      </w:pPr>
      <w:r>
        <w:rPr>
          <w:rFonts w:ascii="Arial" w:cs="Arial" w:eastAsia="Arial" w:hAnsi="Arial"/>
          <w:b w:val="false"/>
          <w:bCs w:val="false"/>
          <w:color w:val="4A4A4A"/>
          <w:sz w:val="22"/>
          <w:szCs w:val="22"/>
        </w:rPr>
        <w:t xml:space="preserve">In this structure, the $1.80–$2.20/Mcf rate typically exceeds the pipeline netback ($1.49/Mcf in our example) by $0.31–$0.71/Mcf—representing a direct, guaranteed netback improvement of 21–48% on the carved-out volume.</w:t>
      </w:r>
    </w:p>
    <w:p>
      <w:pPr>
        <w:spacing w:before="0" w:after="160"/>
      </w:pPr>
      <w:r>
        <w:t xml:space="preserve"/>
      </w:r>
    </w:p>
    <w:p>
      <w:pPr>
        <w:pStyle w:val="Heading2"/>
        <w:spacing w:before="300" w:after="120"/>
      </w:pPr>
      <w:r>
        <w:rPr>
          <w:rFonts w:ascii="Arial" w:cs="Arial" w:eastAsia="Arial" w:hAnsi="Arial"/>
          <w:b/>
          <w:bCs/>
          <w:color w:val="1A1A1A"/>
          <w:sz w:val="24"/>
          <w:szCs w:val="24"/>
        </w:rPr>
        <w:t xml:space="preserve">Structure 2: Revenue Share — Proportional BTC Split</w:t>
      </w:r>
    </w:p>
    <w:p>
      <w:pPr>
        <w:spacing w:before="0" w:after="180"/>
        <w:jc w:val="left"/>
      </w:pPr>
      <w:r>
        <w:rPr>
          <w:rFonts w:ascii="Arial" w:cs="Arial" w:eastAsia="Arial" w:hAnsi="Arial"/>
          <w:b w:val="false"/>
          <w:bCs w:val="false"/>
          <w:color w:val="4A4A4A"/>
          <w:sz w:val="22"/>
          <w:szCs w:val="22"/>
        </w:rPr>
        <w:t xml:space="preserve">In a revenue share structure, MCF.digital still provides all CapEx and operations, but the operator participates proportionally in the Bitcoin revenue rather than receiving a fixed gas rate. The operator’s share is typically 25–40% of gross BTC mined.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Item</w:t>
            </w:r>
          </w:p>
        </w:tc>
        <w:tc>
          <w:tcPr>
            <w:tcW w:type="dxa" w:w="48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 (30% operator share)</w:t>
            </w:r>
          </w:p>
        </w:tc>
      </w:tr>
      <w:tr>
        <w:tc>
          <w:tcPr>
            <w:tcW w:type="dxa" w:w="4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Who provides CapEx</w:t>
            </w:r>
          </w:p>
        </w:tc>
        <w:tc>
          <w:tcPr>
            <w:tcW w:type="dxa" w:w="4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MCF.digital (100%)</w:t>
            </w:r>
          </w:p>
        </w:tc>
      </w:tr>
      <w:tr>
        <w:tc>
          <w:tcPr>
            <w:tcW w:type="dxa" w:w="4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Operator payout (Bear)</w:t>
            </w:r>
          </w:p>
        </w:tc>
        <w:tc>
          <w:tcPr>
            <w:tcW w:type="dxa" w:w="4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D97706"/>
                <w:sz w:val="20"/>
                <w:szCs w:val="20"/>
              </w:rPr>
              <w:t xml:space="preserve">30% × $24,240 = $7,272/mo</w:t>
            </w:r>
          </w:p>
        </w:tc>
      </w:tr>
      <w:tr>
        <w:tc>
          <w:tcPr>
            <w:tcW w:type="dxa" w:w="4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Operator payout (Base)</w:t>
            </w:r>
          </w:p>
        </w:tc>
        <w:tc>
          <w:tcPr>
            <w:tcW w:type="dxa" w:w="4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6A34A"/>
                <w:sz w:val="20"/>
                <w:szCs w:val="20"/>
              </w:rPr>
              <w:t xml:space="preserve">30% × $48,480 = $14,544/mo</w:t>
            </w:r>
          </w:p>
        </w:tc>
      </w:tr>
      <w:tr>
        <w:tc>
          <w:tcPr>
            <w:tcW w:type="dxa" w:w="4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Operator payout (Bull)</w:t>
            </w:r>
          </w:p>
        </w:tc>
        <w:tc>
          <w:tcPr>
            <w:tcW w:type="dxa" w:w="4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6A34A"/>
                <w:sz w:val="20"/>
                <w:szCs w:val="20"/>
              </w:rPr>
              <w:t xml:space="preserve">30% × $84,840 = $25,452/mo</w:t>
            </w:r>
          </w:p>
        </w:tc>
      </w:tr>
      <w:tr>
        <w:tc>
          <w:tcPr>
            <w:tcW w:type="dxa" w:w="4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BTC exposure</w:t>
            </w:r>
          </w:p>
        </w:tc>
        <w:tc>
          <w:tcPr>
            <w:tcW w:type="dxa" w:w="4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Partial. Operator earns more when BTC is up, less when down.</w:t>
            </w:r>
          </w:p>
        </w:tc>
      </w:tr>
      <w:tr>
        <w:tc>
          <w:tcPr>
            <w:tcW w:type="dxa" w:w="4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Payout currency</w:t>
            </w:r>
          </w:p>
        </w:tc>
        <w:tc>
          <w:tcPr>
            <w:tcW w:type="dxa" w:w="4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BTC to operator wallet (custody-first), or USD at 30-day avg</w:t>
            </w:r>
          </w:p>
        </w:tc>
      </w:tr>
      <w:tr>
        <w:tc>
          <w:tcPr>
            <w:tcW w:type="dxa" w:w="4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Best fit for</w:t>
            </w:r>
          </w:p>
        </w:tc>
        <w:tc>
          <w:tcPr>
            <w:tcW w:type="dxa" w:w="4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Operators comfortable with some BTC exposure who want upside participation without capital outlay.</w:t>
            </w:r>
          </w:p>
        </w:tc>
      </w:tr>
    </w:tbl>
    <w:p>
      <w:pPr>
        <w:spacing w:before="0" w:after="120"/>
      </w:pPr>
      <w:r>
        <w:t xml:space="preserve"/>
      </w:r>
    </w:p>
    <w:p>
      <w:pPr>
        <w:spacing w:before="0" w:after="180"/>
        <w:jc w:val="left"/>
      </w:pPr>
      <w:r>
        <w:rPr>
          <w:rFonts w:ascii="Arial" w:cs="Arial" w:eastAsia="Arial" w:hAnsi="Arial"/>
          <w:b w:val="false"/>
          <w:bCs w:val="false"/>
          <w:color w:val="4A4A4A"/>
          <w:sz w:val="22"/>
          <w:szCs w:val="22"/>
        </w:rPr>
        <w:t xml:space="preserve">In the base case, the revenue share produces $14,544/mo versus $13,500/mo in the fixed hosting scenario—a modest improvement with the trade-off of variable rather than fixed income. In the bull case, the gap widens significantly: $25,452 versus $16,500.</w:t>
      </w:r>
    </w:p>
    <w:p>
      <w:pPr>
        <w:spacing w:before="0" w:after="160"/>
      </w:pPr>
      <w:r>
        <w:t xml:space="preserve"/>
      </w:r>
    </w:p>
    <w:p>
      <w:pPr>
        <w:pStyle w:val="Heading2"/>
        <w:spacing w:before="300" w:after="120"/>
      </w:pPr>
      <w:r>
        <w:rPr>
          <w:rFonts w:ascii="Arial" w:cs="Arial" w:eastAsia="Arial" w:hAnsi="Arial"/>
          <w:b/>
          <w:bCs/>
          <w:color w:val="1A1A1A"/>
          <w:sz w:val="24"/>
          <w:szCs w:val="24"/>
        </w:rPr>
        <w:t xml:space="preserve">Structure 3: Operator Mines Directly</w:t>
      </w:r>
    </w:p>
    <w:p>
      <w:pPr>
        <w:spacing w:before="0" w:after="180"/>
        <w:jc w:val="left"/>
      </w:pPr>
      <w:r>
        <w:rPr>
          <w:rFonts w:ascii="Arial" w:cs="Arial" w:eastAsia="Arial" w:hAnsi="Arial"/>
          <w:b w:val="false"/>
          <w:bCs w:val="false"/>
          <w:color w:val="4A4A4A"/>
          <w:sz w:val="22"/>
          <w:szCs w:val="22"/>
        </w:rPr>
        <w:t xml:space="preserve">In this structure, the operator provides the gas, site, and all CapEx. MCF.digital provides the equipment, installation, and ongoing operations under a fixed monthly service agreement. The operator receives 100% of the Bitcoin produced, net of the service fee.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Item</w:t>
            </w:r>
          </w:p>
        </w:tc>
        <w:tc>
          <w:tcPr>
            <w:tcW w:type="dxa" w:w="48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4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Who provides CapEx</w:t>
            </w:r>
          </w:p>
        </w:tc>
        <w:tc>
          <w:tcPr>
            <w:tcW w:type="dxa" w:w="4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Operator (100%, est. $350,000–$500,000)</w:t>
            </w:r>
          </w:p>
        </w:tc>
      </w:tr>
      <w:tr>
        <w:tc>
          <w:tcPr>
            <w:tcW w:type="dxa" w:w="4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Monthly service fee to MCF.digital</w:t>
            </w:r>
          </w:p>
        </w:tc>
        <w:tc>
          <w:tcPr>
            <w:tcW w:type="dxa" w:w="4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$4,500–$7,000/mo (operations, monitoring, maintenance)</w:t>
            </w:r>
          </w:p>
        </w:tc>
      </w:tr>
      <w:tr>
        <w:tc>
          <w:tcPr>
            <w:tcW w:type="dxa" w:w="4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Operator revenue (Bear)</w:t>
            </w:r>
          </w:p>
        </w:tc>
        <w:tc>
          <w:tcPr>
            <w:tcW w:type="dxa" w:w="4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D97706"/>
                <w:sz w:val="20"/>
                <w:szCs w:val="20"/>
              </w:rPr>
              <w:t xml:space="preserve">$24,240 − $5,750 = $18,490/mo</w:t>
            </w:r>
          </w:p>
        </w:tc>
      </w:tr>
      <w:tr>
        <w:tc>
          <w:tcPr>
            <w:tcW w:type="dxa" w:w="4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Operator revenue (Base)</w:t>
            </w:r>
          </w:p>
        </w:tc>
        <w:tc>
          <w:tcPr>
            <w:tcW w:type="dxa" w:w="4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6A34A"/>
                <w:sz w:val="20"/>
                <w:szCs w:val="20"/>
              </w:rPr>
              <w:t xml:space="preserve">$48,480 − $5,750 = $42,730/mo</w:t>
            </w:r>
          </w:p>
        </w:tc>
      </w:tr>
      <w:tr>
        <w:tc>
          <w:tcPr>
            <w:tcW w:type="dxa" w:w="4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Operator revenue (Bull)</w:t>
            </w:r>
          </w:p>
        </w:tc>
        <w:tc>
          <w:tcPr>
            <w:tcW w:type="dxa" w:w="4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6A34A"/>
                <w:sz w:val="20"/>
                <w:szCs w:val="20"/>
              </w:rPr>
              <w:t xml:space="preserve">$84,840 − $5,750 = $79,090/mo</w:t>
            </w:r>
          </w:p>
        </w:tc>
      </w:tr>
      <w:tr>
        <w:tc>
          <w:tcPr>
            <w:tcW w:type="dxa" w:w="4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BTC exposure</w:t>
            </w:r>
          </w:p>
        </w:tc>
        <w:tc>
          <w:tcPr>
            <w:tcW w:type="dxa" w:w="4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Full. Operator receives all BTC upside and downside.</w:t>
            </w:r>
          </w:p>
        </w:tc>
      </w:tr>
      <w:tr>
        <w:tc>
          <w:tcPr>
            <w:tcW w:type="dxa" w:w="4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CapEx payback (Base case)</w:t>
            </w:r>
          </w:p>
        </w:tc>
        <w:tc>
          <w:tcPr>
            <w:tcW w:type="dxa" w:w="4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6A34A"/>
                <w:sz w:val="20"/>
                <w:szCs w:val="20"/>
              </w:rPr>
              <w:t xml:space="preserve">$425,000 ÷ $42,730 = ~10 months</w:t>
            </w:r>
          </w:p>
        </w:tc>
      </w:tr>
      <w:tr>
        <w:tc>
          <w:tcPr>
            <w:tcW w:type="dxa" w:w="4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Best fit for</w:t>
            </w:r>
          </w:p>
        </w:tc>
        <w:tc>
          <w:tcPr>
            <w:tcW w:type="dxa" w:w="4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Operators with capital, high gas volumes, and willingness to hold BTC as a productive asset.</w:t>
            </w:r>
          </w:p>
        </w:tc>
      </w:tr>
    </w:tbl>
    <w:p>
      <w:pPr>
        <w:spacing w:before="0" w:after="120"/>
      </w:pPr>
      <w:r>
        <w:t xml:space="preserve"/>
      </w:r>
    </w:p>
    <w:p>
      <w:pPr>
        <w:spacing w:before="0" w:after="180"/>
        <w:jc w:val="left"/>
      </w:pPr>
      <w:r>
        <w:rPr>
          <w:rFonts w:ascii="Arial" w:cs="Arial" w:eastAsia="Arial" w:hAnsi="Arial"/>
          <w:b w:val="false"/>
          <w:bCs w:val="false"/>
          <w:color w:val="4A4A4A"/>
          <w:sz w:val="22"/>
          <w:szCs w:val="22"/>
        </w:rPr>
        <w:t xml:space="preserve">The operator-mines-directly structure offers the highest absolute returns at any hashprice level, but requires the operator to commit capital and accept full BTC exposure. The ~10-month payback in the base case is attractive for operators evaluating this as a capital allocation decision.</w:t>
      </w:r>
    </w:p>
    <w:p>
      <w:pPr>
        <w:spacing w:before="0" w:after="160"/>
      </w:pPr>
      <w:r>
        <w:t xml:space="preserve"/>
      </w:r>
    </w:p>
    <w:p>
      <w:pPr>
        <w:pStyle w:val="Heading2"/>
        <w:spacing w:before="300" w:after="120"/>
      </w:pPr>
      <w:r>
        <w:rPr>
          <w:rFonts w:ascii="Arial" w:cs="Arial" w:eastAsia="Arial" w:hAnsi="Arial"/>
          <w:b/>
          <w:bCs/>
          <w:color w:val="1A1A1A"/>
          <w:sz w:val="24"/>
          <w:szCs w:val="24"/>
        </w:rPr>
        <w:t xml:space="preserve">Structure 4: Capital Partner Model</w:t>
      </w:r>
    </w:p>
    <w:p>
      <w:pPr>
        <w:spacing w:before="0" w:after="180"/>
        <w:jc w:val="left"/>
      </w:pPr>
      <w:r>
        <w:rPr>
          <w:rFonts w:ascii="Arial" w:cs="Arial" w:eastAsia="Arial" w:hAnsi="Arial"/>
          <w:b w:val="false"/>
          <w:bCs w:val="false"/>
          <w:color w:val="4A4A4A"/>
          <w:sz w:val="22"/>
          <w:szCs w:val="22"/>
        </w:rPr>
        <w:t xml:space="preserve">In the capital partner model, a third party—typically a high-net-worth individual or family office—provides the CapEx in exchange for a preferred revenue share. The operator contributes gas and site. MCF.digital provides equipment and operations. Revenue is split three ways.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53"/>
        <w:gridCol w:w="2054"/>
        <w:gridCol w:w="2053"/>
      </w:tblGrid>
      <w:tr>
        <w:tc>
          <w:tcPr>
            <w:tcW w:type="dxa" w:w="32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Revenue Item</w:t>
            </w:r>
          </w:p>
        </w:tc>
        <w:tc>
          <w:tcPr>
            <w:tcW w:type="dxa" w:w="2053"/>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Capital Partner</w:t>
            </w:r>
          </w:p>
        </w:tc>
        <w:tc>
          <w:tcPr>
            <w:tcW w:type="dxa" w:w="2054"/>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Operator</w:t>
            </w:r>
          </w:p>
        </w:tc>
        <w:tc>
          <w:tcPr>
            <w:tcW w:type="dxa" w:w="2053"/>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MCF.digital</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Gross BTC revenue share</w:t>
            </w:r>
          </w:p>
        </w:tc>
        <w:tc>
          <w:tcPr>
            <w:tcW w:type="dxa" w:w="205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50%</w:t>
            </w:r>
          </w:p>
        </w:tc>
        <w:tc>
          <w:tcPr>
            <w:tcW w:type="dxa" w:w="205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20%</w:t>
            </w:r>
          </w:p>
        </w:tc>
        <w:tc>
          <w:tcPr>
            <w:tcW w:type="dxa" w:w="205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30%</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Monthly payout (Bear)</w:t>
            </w:r>
          </w:p>
        </w:tc>
        <w:tc>
          <w:tcPr>
            <w:tcW w:type="dxa" w:w="20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D97706"/>
                <w:sz w:val="20"/>
                <w:szCs w:val="20"/>
              </w:rPr>
              <w:t xml:space="preserve">$12,120</w:t>
            </w:r>
          </w:p>
        </w:tc>
        <w:tc>
          <w:tcPr>
            <w:tcW w:type="dxa" w:w="205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D97706"/>
                <w:sz w:val="20"/>
                <w:szCs w:val="20"/>
              </w:rPr>
              <w:t xml:space="preserve">$4,848</w:t>
            </w:r>
          </w:p>
        </w:tc>
        <w:tc>
          <w:tcPr>
            <w:tcW w:type="dxa" w:w="20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$7,272</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Monthly payout (Base)</w:t>
            </w:r>
          </w:p>
        </w:tc>
        <w:tc>
          <w:tcPr>
            <w:tcW w:type="dxa" w:w="205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6A34A"/>
                <w:sz w:val="20"/>
                <w:szCs w:val="20"/>
              </w:rPr>
              <w:t xml:space="preserve">$24,240</w:t>
            </w:r>
          </w:p>
        </w:tc>
        <w:tc>
          <w:tcPr>
            <w:tcW w:type="dxa" w:w="205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6A34A"/>
                <w:sz w:val="20"/>
                <w:szCs w:val="20"/>
              </w:rPr>
              <w:t xml:space="preserve">$9,696</w:t>
            </w:r>
          </w:p>
        </w:tc>
        <w:tc>
          <w:tcPr>
            <w:tcW w:type="dxa" w:w="205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$14,544</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Monthly payout (Bull)</w:t>
            </w:r>
          </w:p>
        </w:tc>
        <w:tc>
          <w:tcPr>
            <w:tcW w:type="dxa" w:w="20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6A34A"/>
                <w:sz w:val="20"/>
                <w:szCs w:val="20"/>
              </w:rPr>
              <w:t xml:space="preserve">$42,420</w:t>
            </w:r>
          </w:p>
        </w:tc>
        <w:tc>
          <w:tcPr>
            <w:tcW w:type="dxa" w:w="205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6A34A"/>
                <w:sz w:val="20"/>
                <w:szCs w:val="20"/>
              </w:rPr>
              <w:t xml:space="preserve">$16,968</w:t>
            </w:r>
          </w:p>
        </w:tc>
        <w:tc>
          <w:tcPr>
            <w:tcW w:type="dxa" w:w="20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$25,452</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Capital partner CapEx</w:t>
            </w:r>
          </w:p>
        </w:tc>
        <w:tc>
          <w:tcPr>
            <w:tcW w:type="dxa" w:w="205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$425,000</w:t>
            </w:r>
          </w:p>
        </w:tc>
        <w:tc>
          <w:tcPr>
            <w:tcW w:type="dxa" w:w="205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6A34A"/>
                <w:sz w:val="20"/>
                <w:szCs w:val="20"/>
              </w:rPr>
              <w:t xml:space="preserve">$0</w:t>
            </w:r>
          </w:p>
        </w:tc>
        <w:tc>
          <w:tcPr>
            <w:tcW w:type="dxa" w:w="205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Capital partner payback (Base)</w:t>
            </w:r>
          </w:p>
        </w:tc>
        <w:tc>
          <w:tcPr>
            <w:tcW w:type="dxa" w:w="20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~17.5 months</w:t>
            </w:r>
          </w:p>
        </w:tc>
        <w:tc>
          <w:tcPr>
            <w:tcW w:type="dxa" w:w="205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n/a</w:t>
            </w:r>
          </w:p>
        </w:tc>
        <w:tc>
          <w:tcPr>
            <w:tcW w:type="dxa" w:w="20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r>
    </w:tbl>
    <w:p>
      <w:pPr>
        <w:spacing w:before="0" w:after="80"/>
      </w:pPr>
      <w:r>
        <w:t xml:space="preserve"/>
      </w:r>
    </w:p>
    <w:p>
      <w:pPr>
        <w:spacing w:before="0" w:after="180"/>
        <w:jc w:val="left"/>
      </w:pPr>
      <w:r>
        <w:rPr>
          <w:rFonts w:ascii="Arial" w:cs="Arial" w:eastAsia="Arial" w:hAnsi="Arial"/>
          <w:b w:val="false"/>
          <w:bCs w:val="false"/>
          <w:color w:val="4A4A4A"/>
          <w:sz w:val="22"/>
          <w:szCs w:val="22"/>
        </w:rPr>
        <w:t xml:space="preserve">From the operator’s perspective, the capital partner model delivers $9,696/mo in the base case with zero capital outlay—a meaningful improvement over the all-pipeline netback of $17,880/mo on 400 Mcf/d, achieved on only 250 Mcf/d of carved-out gas.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thick" w:color="F97316" w:sz="8"/>
              <w:left w:val="thick" w:color="F97316" w:sz="8"/>
              <w:bottom w:val="single" w:color="E0E0E0" w:sz="1"/>
              <w:right w:val="single" w:color="E0E0E0" w:sz="1"/>
            </w:tcBorders>
            <w:shd w:fill="FFF7ED" w:val="clear"/>
            <w:tcMar>
              <w:top w:type="dxa" w:w="120"/>
              <w:left w:type="dxa" w:w="200"/>
              <w:bottom w:type="dxa" w:w="120"/>
              <w:right w:type="dxa" w:w="200"/>
            </w:tcMar>
          </w:tcPr>
          <w:p>
            <w:pPr>
              <w:spacing w:before="0" w:after="60"/>
            </w:pPr>
            <w:r>
              <w:rPr>
                <w:rFonts w:ascii="Arial" w:cs="Arial" w:eastAsia="Arial" w:hAnsi="Arial"/>
                <w:b/>
                <w:bCs/>
                <w:color w:val="F97316"/>
                <w:sz w:val="20"/>
                <w:szCs w:val="20"/>
              </w:rPr>
              <w:t xml:space="preserve">Payout Currency Note</w:t>
            </w:r>
          </w:p>
          <w:p>
            <w:pPr>
              <w:spacing w:before="0" w:after="0"/>
            </w:pPr>
            <w:r>
              <w:rPr>
                <w:rFonts w:ascii="Arial" w:cs="Arial" w:eastAsia="Arial" w:hAnsi="Arial"/>
                <w:color w:val="1A1A1A"/>
                <w:sz w:val="21"/>
                <w:szCs w:val="21"/>
              </w:rPr>
              <w:t xml:space="preserve">In Structures 2, 3, and 4, Bitcoin payouts are made custody-first: the BTC is distributed to the operator’s or capital partner’s designated self-custody wallet before any other distribution. Operators or capital partners who prefer USD receive a monthly ACH payment calculated at the 30-day average Bitcoin price at time of distribution.</w:t>
            </w:r>
          </w:p>
        </w:tc>
      </w:tr>
    </w:tbl>
    <w:p>
      <w:pPr>
        <w:pStyle w:val="Heading1"/>
        <w:pBdr>
          <w:bottom w:val="single" w:color="F97316" w:sz="3"/>
        </w:pBdr>
        <w:spacing w:before="440" w:after="160"/>
      </w:pPr>
      <w:r>
        <w:rPr>
          <w:rFonts w:ascii="Arial" w:cs="Arial" w:eastAsia="Arial" w:hAnsi="Arial"/>
          <w:b/>
          <w:bCs/>
          <w:color w:val="0A0A0A"/>
          <w:sz w:val="28"/>
          <w:szCs w:val="28"/>
        </w:rPr>
        <w:t xml:space="preserve">4. Minimum Volume Threshold Analysis by Gas Price Scenario</w:t>
      </w:r>
    </w:p>
    <w:p>
      <w:pPr>
        <w:spacing w:before="0" w:after="180"/>
        <w:jc w:val="left"/>
      </w:pPr>
      <w:r>
        <w:rPr>
          <w:rFonts w:ascii="Arial" w:cs="Arial" w:eastAsia="Arial" w:hAnsi="Arial"/>
          <w:b w:val="false"/>
          <w:bCs w:val="false"/>
          <w:color w:val="4A4A4A"/>
          <w:sz w:val="22"/>
          <w:szCs w:val="22"/>
        </w:rPr>
        <w:t xml:space="preserve">The economics of an on-lease carve-out are sensitive to two primary inputs: the volume of gas available for diversion and the prevailing gas price (which sets the opportunity cost of redirecting gas away from the pipeline). The following analysis identifies the minimum viable carve-out volume across three gas price scenarios.</w:t>
      </w:r>
    </w:p>
    <w:p>
      <w:pPr>
        <w:spacing w:before="0" w:after="80"/>
      </w:pPr>
      <w:r>
        <w:t xml:space="preserve"/>
      </w:r>
    </w:p>
    <w:p>
      <w:pPr>
        <w:pStyle w:val="Heading2"/>
        <w:spacing w:before="300" w:after="120"/>
      </w:pPr>
      <w:r>
        <w:rPr>
          <w:rFonts w:ascii="Arial" w:cs="Arial" w:eastAsia="Arial" w:hAnsi="Arial"/>
          <w:b/>
          <w:bCs/>
          <w:color w:val="1A1A1A"/>
          <w:sz w:val="24"/>
          <w:szCs w:val="24"/>
        </w:rPr>
        <w:t xml:space="preserve">4.1 How to Read This Analysis</w:t>
      </w:r>
    </w:p>
    <w:p>
      <w:pPr>
        <w:spacing w:before="0" w:after="180"/>
        <w:jc w:val="left"/>
      </w:pPr>
      <w:r>
        <w:rPr>
          <w:rFonts w:ascii="Arial" w:cs="Arial" w:eastAsia="Arial" w:hAnsi="Arial"/>
          <w:b w:val="false"/>
          <w:bCs w:val="false"/>
          <w:color w:val="4A4A4A"/>
          <w:sz w:val="22"/>
          <w:szCs w:val="22"/>
        </w:rPr>
        <w:t xml:space="preserve">The minimum viable carve-out volume is the point at which the on-lease revenue equals or exceeds what the operator would have earned by sending that same gas to the pipeline at the prevailing netback rate. Below this threshold, the carve-out does not improve operator economics in the pure hosting structure. Above this threshold, incremental improvement grows linearly.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80"/>
        <w:gridCol w:w="1780"/>
        <w:gridCol w:w="1800"/>
        <w:gridCol w:w="1800"/>
      </w:tblGrid>
      <w:tr>
        <w:tc>
          <w:tcPr>
            <w:tcW w:type="dxa" w:w="22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Gas Price (HH)</w:t>
            </w:r>
          </w:p>
        </w:tc>
        <w:tc>
          <w:tcPr>
            <w:tcW w:type="dxa" w:w="178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Pipeline Netback (est.)</w:t>
            </w:r>
          </w:p>
        </w:tc>
        <w:tc>
          <w:tcPr>
            <w:tcW w:type="dxa" w:w="178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Min Volume (Hosting @ $1.80/Mcf)</w:t>
            </w:r>
          </w:p>
        </w:tc>
        <w:tc>
          <w:tcPr>
            <w:tcW w:type="dxa" w:w="18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Min Volume (Rev Share, Base BTC)</w:t>
            </w:r>
          </w:p>
        </w:tc>
        <w:tc>
          <w:tcPr>
            <w:tcW w:type="dxa" w:w="18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$1.50/Mcf</w:t>
            </w:r>
          </w:p>
        </w:tc>
        <w:tc>
          <w:tcPr>
            <w:tcW w:type="dxa" w:w="17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DC2626"/>
                <w:sz w:val="20"/>
                <w:szCs w:val="20"/>
              </w:rPr>
              <w:t xml:space="preserve">$0.19/Mcf</w:t>
            </w:r>
          </w:p>
        </w:tc>
        <w:tc>
          <w:tcPr>
            <w:tcW w:type="dxa" w:w="17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6A34A"/>
                <w:sz w:val="20"/>
                <w:szCs w:val="20"/>
              </w:rPr>
              <w:t xml:space="preserve">100 Mcf/d</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6A34A"/>
                <w:sz w:val="20"/>
                <w:szCs w:val="20"/>
              </w:rPr>
              <w:t xml:space="preserve">75 Mcf/d</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Hosting easily wins. Even micro-sites viable.</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$2.50/Mcf</w:t>
            </w:r>
          </w:p>
        </w:tc>
        <w:tc>
          <w:tcPr>
            <w:tcW w:type="dxa" w:w="17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D97706"/>
                <w:sz w:val="20"/>
                <w:szCs w:val="20"/>
              </w:rPr>
              <w:t xml:space="preserve">$1.19/Mcf</w:t>
            </w:r>
          </w:p>
        </w:tc>
        <w:tc>
          <w:tcPr>
            <w:tcW w:type="dxa" w:w="17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6A34A"/>
                <w:sz w:val="20"/>
                <w:szCs w:val="20"/>
              </w:rPr>
              <w:t xml:space="preserve">150 Mcf/d</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6A34A"/>
                <w:sz w:val="20"/>
                <w:szCs w:val="20"/>
              </w:rPr>
              <w:t xml:space="preserve">130 Mcf/d</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Hosting still favorable at moderate volumes.</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$3.50/Mcf</w:t>
            </w:r>
          </w:p>
        </w:tc>
        <w:tc>
          <w:tcPr>
            <w:tcW w:type="dxa" w:w="17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$2.19/Mcf</w:t>
            </w:r>
          </w:p>
        </w:tc>
        <w:tc>
          <w:tcPr>
            <w:tcW w:type="dxa" w:w="17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D97706"/>
                <w:sz w:val="20"/>
                <w:szCs w:val="20"/>
              </w:rPr>
              <w:t xml:space="preserve">280 Mcf/d</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6A34A"/>
                <w:sz w:val="20"/>
                <w:szCs w:val="20"/>
              </w:rPr>
              <w:t xml:space="preserve">200 Mcf/d</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Higher gas prices raise the bar; BTC upside keeps rev-share viable.</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$4.50/Mcf</w:t>
            </w:r>
          </w:p>
        </w:tc>
        <w:tc>
          <w:tcPr>
            <w:tcW w:type="dxa" w:w="17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D97706"/>
                <w:sz w:val="20"/>
                <w:szCs w:val="20"/>
              </w:rPr>
              <w:t xml:space="preserve">$3.19/Mcf</w:t>
            </w:r>
          </w:p>
        </w:tc>
        <w:tc>
          <w:tcPr>
            <w:tcW w:type="dxa" w:w="17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DC2626"/>
                <w:sz w:val="20"/>
                <w:szCs w:val="20"/>
              </w:rPr>
              <w:t xml:space="preserve">Not viable</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D97706"/>
                <w:sz w:val="20"/>
                <w:szCs w:val="20"/>
              </w:rPr>
              <w:t xml:space="preserve">350 Mcf/d (Bull only)</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High gas prices favor pipeline. Rev-share only works in bull BTC scenario.</w:t>
            </w:r>
          </w:p>
        </w:tc>
      </w:tr>
    </w:tbl>
    <w:p>
      <w:pPr>
        <w:spacing w:before="0" w:after="120"/>
      </w:pPr>
      <w:r>
        <w:t xml:space="preserve"/>
      </w:r>
    </w:p>
    <w:p>
      <w:pPr>
        <w:spacing w:before="0" w:after="180"/>
        <w:jc w:val="left"/>
      </w:pPr>
      <w:r>
        <w:rPr>
          <w:rFonts w:ascii="Arial" w:cs="Arial" w:eastAsia="Arial" w:hAnsi="Arial"/>
          <w:b w:val="false"/>
          <w:bCs w:val="false"/>
          <w:color w:val="4A4A4A"/>
          <w:sz w:val="22"/>
          <w:szCs w:val="22"/>
        </w:rPr>
        <w:t xml:space="preserve">Key takeaway: The on-lease carve-out is most compelling when pipeline netbacks are low (Henry Hub below $2.50/Mcf) or when the operator is in a negative-netback position. When gas prices are high and netbacks are strong, the economics shift toward pipeline delivery—unless the operator is in a bull Bitcoin environment and using a revenue-share or direct-mining structure.</w:t>
      </w:r>
    </w:p>
    <w:p>
      <w:pPr>
        <w:spacing w:before="0" w:after="80"/>
      </w:pPr>
      <w:r>
        <w:t xml:space="preserve"/>
      </w:r>
    </w:p>
    <w:p>
      <w:pPr>
        <w:pStyle w:val="Heading2"/>
        <w:spacing w:before="300" w:after="120"/>
      </w:pPr>
      <w:r>
        <w:rPr>
          <w:rFonts w:ascii="Arial" w:cs="Arial" w:eastAsia="Arial" w:hAnsi="Arial"/>
          <w:b/>
          <w:bCs/>
          <w:color w:val="1A1A1A"/>
          <w:sz w:val="24"/>
          <w:szCs w:val="24"/>
        </w:rPr>
        <w:t xml:space="preserve">4.2 The Negative Netback Case: Carve-Out as a Floor</w:t>
      </w:r>
    </w:p>
    <w:p>
      <w:pPr>
        <w:spacing w:before="0" w:after="180"/>
        <w:jc w:val="left"/>
      </w:pPr>
      <w:r>
        <w:rPr>
          <w:rFonts w:ascii="Arial" w:cs="Arial" w:eastAsia="Arial" w:hAnsi="Arial"/>
          <w:b w:val="false"/>
          <w:bCs w:val="false"/>
          <w:color w:val="4A4A4A"/>
          <w:sz w:val="22"/>
          <w:szCs w:val="22"/>
        </w:rPr>
        <w:t xml:space="preserve">When pipeline netbacks turn negative—as they do periodically for wet gas operators in high-cost gathering basins—the on-lease carve-out functions as an economic floor, not merely an improvement. In a negative-netback scenario, any positive return from the on-lease system beats the pipeline alternative.</w:t>
      </w:r>
    </w:p>
    <w:p>
      <w:pPr>
        <w:spacing w:before="0" w:after="180"/>
        <w:jc w:val="left"/>
      </w:pPr>
      <w:r>
        <w:rPr>
          <w:rFonts w:ascii="Arial" w:cs="Arial" w:eastAsia="Arial" w:hAnsi="Arial"/>
          <w:b w:val="false"/>
          <w:bCs w:val="false"/>
          <w:color w:val="4A4A4A"/>
          <w:sz w:val="22"/>
          <w:szCs w:val="22"/>
        </w:rPr>
        <w:t xml:space="preserve">This is the most compelling use case for the MCF.digital carve-out model: operators who are currently paying to have their gas gathered and processed, generating a negative wellhead return, can convert those volumes to a positive-revenue stream at essentially any hashprice above zero.</w:t>
      </w:r>
    </w:p>
    <w:p>
      <w:pPr>
        <w:pStyle w:val="Heading1"/>
        <w:pBdr>
          <w:bottom w:val="single" w:color="F97316" w:sz="3"/>
        </w:pBdr>
        <w:spacing w:before="440" w:after="160"/>
      </w:pPr>
      <w:r>
        <w:rPr>
          <w:rFonts w:ascii="Arial" w:cs="Arial" w:eastAsia="Arial" w:hAnsi="Arial"/>
          <w:b/>
          <w:bCs/>
          <w:color w:val="0A0A0A"/>
          <w:sz w:val="28"/>
          <w:szCs w:val="28"/>
        </w:rPr>
        <w:t xml:space="preserve">5. Midstream Contract Review: Clauses That Block or Enable the Carve-Out</w:t>
      </w:r>
    </w:p>
    <w:p>
      <w:pPr>
        <w:spacing w:before="0" w:after="180"/>
        <w:jc w:val="left"/>
      </w:pPr>
      <w:r>
        <w:rPr>
          <w:rFonts w:ascii="Arial" w:cs="Arial" w:eastAsia="Arial" w:hAnsi="Arial"/>
          <w:b w:val="false"/>
          <w:bCs w:val="false"/>
          <w:color w:val="4A4A4A"/>
          <w:sz w:val="22"/>
          <w:szCs w:val="22"/>
        </w:rPr>
        <w:t xml:space="preserve">The on-lease carve-out is legally distinct from a contract renegotiation—but it is not automatic. Before executing a carve-out, operators must review their existing gathering and processing agreements for specific clauses that may constrain, condition, or outright prohibit the diversion of gas volumes to on-lease use. The following section identifies the key contract provisions to examine.</w:t>
      </w:r>
    </w:p>
    <w:p>
      <w:pPr>
        <w:spacing w:before="0" w:after="180"/>
        <w:jc w:val="left"/>
      </w:pPr>
      <w:r>
        <w:rPr>
          <w:rFonts w:ascii="Arial" w:cs="Arial" w:eastAsia="Arial" w:hAnsi="Arial"/>
          <w:b w:val="false"/>
          <w:bCs w:val="false"/>
          <w:color w:val="4A4A4A"/>
          <w:sz w:val="22"/>
          <w:szCs w:val="22"/>
        </w:rPr>
        <w:t xml:space="preserve">This is not legal advice. Operators should have qualified energy counsel review their specific contracts before executing any carve-out arrangement.</w:t>
      </w:r>
    </w:p>
    <w:p>
      <w:pPr>
        <w:spacing w:before="0" w:after="80"/>
      </w:pPr>
      <w:r>
        <w:t xml:space="preserve"/>
      </w:r>
    </w:p>
    <w:p>
      <w:pPr>
        <w:pStyle w:val="Heading2"/>
        <w:spacing w:before="300" w:after="120"/>
      </w:pPr>
      <w:r>
        <w:rPr>
          <w:rFonts w:ascii="Arial" w:cs="Arial" w:eastAsia="Arial" w:hAnsi="Arial"/>
          <w:b/>
          <w:bCs/>
          <w:color w:val="1A1A1A"/>
          <w:sz w:val="24"/>
          <w:szCs w:val="24"/>
        </w:rPr>
        <w:t xml:space="preserve">5.1 Clauses That May Block the Carve-Out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c>
          <w:tcPr>
            <w:tcW w:type="dxa" w:w="26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Clause / Provision</w:t>
            </w:r>
          </w:p>
        </w:tc>
        <w:tc>
          <w:tcPr>
            <w:tcW w:type="dxa" w:w="35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It Says (Typical Language)</w:t>
            </w:r>
          </w:p>
        </w:tc>
        <w:tc>
          <w:tcPr>
            <w:tcW w:type="dxa" w:w="32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Risk to Carve-Out</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Dedication Clause</w:t>
            </w:r>
          </w:p>
        </w:tc>
        <w:tc>
          <w:tcPr>
            <w:tcW w:type="dxa" w:w="3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"Producer dedicates and commits to deliver all gas produced from the Dedicated Area to Gatherer for gathering under this Agreement."</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DC2626"/>
                <w:sz w:val="20"/>
                <w:szCs w:val="20"/>
              </w:rPr>
              <w:t xml:space="preserve">High. If the dedication is unconditional and covers all gas from the lease, a carve-out may breach the contract. Look for exceptions for lease fuel, operational use, or on-lease consumption.</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Minimum Volume Commitment (MVC)</w:t>
            </w:r>
          </w:p>
        </w:tc>
        <w:tc>
          <w:tcPr>
            <w:tcW w:type="dxa" w:w="3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"Producer shall deliver a minimum of [X] Mcf/d per month to the System. Deficiency payments shall be assessed at the full gathering rate on any shortfall."</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D97706"/>
                <w:sz w:val="20"/>
                <w:szCs w:val="20"/>
              </w:rPr>
              <w:t xml:space="preserve">Medium-High. If the carve-out reduces pipeline volumes below the MVC, the operator owes deficiency fees. Calculate whether the on-lease revenue exceeds the MVC deficiency cost.</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Sole-Supply Covenant</w:t>
            </w:r>
          </w:p>
        </w:tc>
        <w:tc>
          <w:tcPr>
            <w:tcW w:type="dxa" w:w="3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"Producer shall not deliver gas from the Dedicated Leases to any third party or use gas for any purpose other than delivery to Gatherer without prior written consent."</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DC2626"/>
                <w:sz w:val="20"/>
                <w:szCs w:val="20"/>
              </w:rPr>
              <w:t xml:space="preserve">High. Explicit prohibition on alternative disposition without consent. Consent may be negotiable, but this clause stops a unilateral carve-out.</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Area of Mutual Interest (AMI)</w:t>
            </w:r>
          </w:p>
        </w:tc>
        <w:tc>
          <w:tcPr>
            <w:tcW w:type="dxa" w:w="3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"Any gas production from leases acquired within the AMI during the term shall be subject to the dedication provisions herein."</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D97706"/>
                <w:sz w:val="20"/>
                <w:szCs w:val="20"/>
              </w:rPr>
              <w:t xml:space="preserve">Medium. AMI provisions may capture new pad development and apply the same dedication to newly drilled locations. Review AMI boundaries against planned carve-out locations.</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Change in Disposition Notice</w:t>
            </w:r>
          </w:p>
        </w:tc>
        <w:tc>
          <w:tcPr>
            <w:tcW w:type="dxa" w:w="3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"Producer shall provide [30/60/90] days written notice of any material change in the disposition of gas volumes from the Dedicated Area."</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D97706"/>
                <w:sz w:val="20"/>
                <w:szCs w:val="20"/>
              </w:rPr>
              <w:t xml:space="preserve">Low-Medium. Not a prohibition, but a procedural requirement. Carve-outs initiated without notice may create breach claims even if the underlying volumes are permissible.</w:t>
            </w:r>
          </w:p>
        </w:tc>
      </w:tr>
    </w:tbl>
    <w:p>
      <w:pPr>
        <w:spacing w:before="0" w:after="160"/>
      </w:pPr>
      <w:r>
        <w:t xml:space="preserve"/>
      </w:r>
    </w:p>
    <w:p>
      <w:pPr>
        <w:pStyle w:val="Heading2"/>
        <w:spacing w:before="300" w:after="120"/>
      </w:pPr>
      <w:r>
        <w:rPr>
          <w:rFonts w:ascii="Arial" w:cs="Arial" w:eastAsia="Arial" w:hAnsi="Arial"/>
          <w:b/>
          <w:bCs/>
          <w:color w:val="1A1A1A"/>
          <w:sz w:val="24"/>
          <w:szCs w:val="24"/>
        </w:rPr>
        <w:t xml:space="preserve">5.2 Clauses That Enable the Carve-Out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c>
          <w:tcPr>
            <w:tcW w:type="dxa" w:w="26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Clause / Provision</w:t>
            </w:r>
          </w:p>
        </w:tc>
        <w:tc>
          <w:tcPr>
            <w:tcW w:type="dxa" w:w="35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It Says (Typical Language)</w:t>
            </w:r>
          </w:p>
        </w:tc>
        <w:tc>
          <w:tcPr>
            <w:tcW w:type="dxa" w:w="32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How It Enables the Carve-Out</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Lease Fuel / Operational Use Exception</w:t>
            </w:r>
          </w:p>
        </w:tc>
        <w:tc>
          <w:tcPr>
            <w:tcW w:type="dxa" w:w="3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"The dedication herein shall not apply to gas used by Producer as fuel for operations on the dedicated leases, including but not limited to compression, dehydration, and production-related power generation."</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6A34A"/>
                <w:sz w:val="20"/>
                <w:szCs w:val="20"/>
              </w:rPr>
              <w:t xml:space="preserve">Strong enabler. On-lease power generation for compute is analogous to power generation for compression. Confirm whether the exception is limited to upstream production operations or extends to any on-lease use.</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Minimum Commitment Carve-Out for On-Lease Use</w:t>
            </w:r>
          </w:p>
        </w:tc>
        <w:tc>
          <w:tcPr>
            <w:tcW w:type="dxa" w:w="3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"Gas consumed on the dedicated leases for operational purposes shall not be counted against the Minimum Volume Commitment."</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6A34A"/>
                <w:sz w:val="20"/>
                <w:szCs w:val="20"/>
              </w:rPr>
              <w:t xml:space="preserve">Direct enabler. Explicitly removes on-lease consumption from MVC calculations, eliminating the deficiency fee risk.</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Royalty-Free Operational Gas Provision</w:t>
            </w:r>
          </w:p>
        </w:tc>
        <w:tc>
          <w:tcPr>
            <w:tcW w:type="dxa" w:w="3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"Producer shall be entitled to use, free of royalty obligation, such quantities of gas as are reasonably necessary for operations on the producing lease."</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6A34A"/>
                <w:sz w:val="20"/>
                <w:szCs w:val="20"/>
              </w:rPr>
              <w:t xml:space="preserve">Partial enabler. This addresses royalty treatment (not midstream obligation) but confirms that on-lease gas consumption is recognized as an operational right under the lease.</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Interruptible / Flexible Volume Provision</w:t>
            </w:r>
          </w:p>
        </w:tc>
        <w:tc>
          <w:tcPr>
            <w:tcW w:type="dxa" w:w="3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"Producer may, on [X] days notice, designate up to [Y] Mcf/d as interruptible volumes not subject to the firm commitment provisions."</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6A34A"/>
                <w:sz w:val="20"/>
                <w:szCs w:val="20"/>
              </w:rPr>
              <w:t xml:space="preserve">Conditional enabler. If the carve-out volume fits within the interruptible designation, the operator can structure the diversion without breaching the firm commitment.</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Uneconomic Gas / Negative Netback Termination Right</w:t>
            </w:r>
          </w:p>
        </w:tc>
        <w:tc>
          <w:tcPr>
            <w:tcW w:type="dxa" w:w="3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"If the net proceeds to Producer for any calendar month are negative after application of all fees, deductions, and taxes, Producer shall have the right to suspend deliveries upon [X] days written notice."</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6A34A"/>
                <w:sz w:val="20"/>
                <w:szCs w:val="20"/>
              </w:rPr>
              <w:t xml:space="preserve">Strong enabler in negative-netback situations. Gives the operator a contractual basis to reduce or suspend pipeline deliveries when the economics are demonstrably negative.</w:t>
            </w:r>
          </w:p>
        </w:tc>
      </w:tr>
    </w:tbl>
    <w:p>
      <w:pPr>
        <w:spacing w:before="0" w:after="160"/>
      </w:pPr>
      <w:r>
        <w:t xml:space="preserve"/>
      </w:r>
    </w:p>
    <w:p>
      <w:pPr>
        <w:pStyle w:val="Heading2"/>
        <w:spacing w:before="300" w:after="120"/>
      </w:pPr>
      <w:r>
        <w:rPr>
          <w:rFonts w:ascii="Arial" w:cs="Arial" w:eastAsia="Arial" w:hAnsi="Arial"/>
          <w:b/>
          <w:bCs/>
          <w:color w:val="1A1A1A"/>
          <w:sz w:val="24"/>
          <w:szCs w:val="24"/>
        </w:rPr>
        <w:t xml:space="preserve">5.3 What to Ask Your Contract Attorney</w:t>
      </w:r>
    </w:p>
    <w:p>
      <w:pPr>
        <w:spacing w:before="0" w:after="180"/>
        <w:jc w:val="left"/>
      </w:pPr>
      <w:r>
        <w:rPr>
          <w:rFonts w:ascii="Arial" w:cs="Arial" w:eastAsia="Arial" w:hAnsi="Arial"/>
          <w:b w:val="false"/>
          <w:bCs w:val="false"/>
          <w:color w:val="4A4A4A"/>
          <w:sz w:val="22"/>
          <w:szCs w:val="22"/>
        </w:rPr>
        <w:t xml:space="preserve">When engaging energy counsel to review your midstream contract for carve-out compatibility, provide the following specific questions:</w:t>
      </w:r>
    </w:p>
    <w:p>
      <w:pPr>
        <w:pStyle w:val="ListParagraph"/>
        <w:numPr>
          <w:ilvl w:val="0"/>
          <w:numId w:val="2"/>
        </w:numPr>
        <w:spacing w:after="120"/>
      </w:pPr>
      <w:r>
        <w:rPr>
          <w:rFonts w:ascii="Arial" w:cs="Arial" w:eastAsia="Arial" w:hAnsi="Arial"/>
          <w:color w:val="4A4A4A"/>
          <w:sz w:val="22"/>
          <w:szCs w:val="22"/>
        </w:rPr>
        <w:t xml:space="preserve">Does the dedication clause cover all gas from the lease, or only gas that the producer ‘elects’ or ‘chooses’ to sell to the gatherer?</w:t>
      </w:r>
    </w:p>
    <w:p>
      <w:pPr>
        <w:pStyle w:val="ListParagraph"/>
        <w:numPr>
          <w:ilvl w:val="0"/>
          <w:numId w:val="2"/>
        </w:numPr>
        <w:spacing w:after="120"/>
      </w:pPr>
      <w:r>
        <w:rPr>
          <w:rFonts w:ascii="Arial" w:cs="Arial" w:eastAsia="Arial" w:hAnsi="Arial"/>
          <w:color w:val="4A4A4A"/>
          <w:sz w:val="22"/>
          <w:szCs w:val="22"/>
        </w:rPr>
        <w:t xml:space="preserve">Is there an operational-use or lease-fuel exception? Does it encompass power generation, and is that power generation limited to upstream production activities?</w:t>
      </w:r>
    </w:p>
    <w:p>
      <w:pPr>
        <w:pStyle w:val="ListParagraph"/>
        <w:numPr>
          <w:ilvl w:val="0"/>
          <w:numId w:val="2"/>
        </w:numPr>
        <w:spacing w:after="120"/>
      </w:pPr>
      <w:r>
        <w:rPr>
          <w:rFonts w:ascii="Arial" w:cs="Arial" w:eastAsia="Arial" w:hAnsi="Arial"/>
          <w:color w:val="4A4A4A"/>
          <w:sz w:val="22"/>
          <w:szCs w:val="22"/>
        </w:rPr>
        <w:t xml:space="preserve">If the operator is under an MVC, does on-lease consumption count against the MVC? Is there a carve-out provision for operational gas?</w:t>
      </w:r>
    </w:p>
    <w:p>
      <w:pPr>
        <w:pStyle w:val="ListParagraph"/>
        <w:numPr>
          <w:ilvl w:val="0"/>
          <w:numId w:val="2"/>
        </w:numPr>
        <w:spacing w:after="120"/>
      </w:pPr>
      <w:r>
        <w:rPr>
          <w:rFonts w:ascii="Arial" w:cs="Arial" w:eastAsia="Arial" w:hAnsi="Arial"/>
          <w:color w:val="4A4A4A"/>
          <w:sz w:val="22"/>
          <w:szCs w:val="22"/>
        </w:rPr>
        <w:t xml:space="preserve">What are the notice requirements for any material change in gas disposition? Would a phased carve-out (starting with a small volume fraction) require notice?</w:t>
      </w:r>
    </w:p>
    <w:p>
      <w:pPr>
        <w:pStyle w:val="ListParagraph"/>
        <w:numPr>
          <w:ilvl w:val="0"/>
          <w:numId w:val="2"/>
        </w:numPr>
        <w:spacing w:after="120"/>
      </w:pPr>
      <w:r>
        <w:rPr>
          <w:rFonts w:ascii="Arial" w:cs="Arial" w:eastAsia="Arial" w:hAnsi="Arial"/>
          <w:color w:val="4A4A4A"/>
          <w:sz w:val="22"/>
          <w:szCs w:val="22"/>
        </w:rPr>
        <w:t xml:space="preserve">Is there a renegotiation right, consent provision, or waiver mechanism that could allow the midstream provider to consent to a carve-out in exchange for other consideration?</w:t>
      </w:r>
    </w:p>
    <w:p>
      <w:pPr>
        <w:pStyle w:val="ListParagraph"/>
        <w:numPr>
          <w:ilvl w:val="0"/>
          <w:numId w:val="2"/>
        </w:numPr>
        <w:spacing w:after="120"/>
      </w:pPr>
      <w:r>
        <w:rPr>
          <w:rFonts w:ascii="Arial" w:cs="Arial" w:eastAsia="Arial" w:hAnsi="Arial"/>
          <w:color w:val="4A4A4A"/>
          <w:sz w:val="22"/>
          <w:szCs w:val="22"/>
        </w:rPr>
        <w:t xml:space="preserve">What is the governing law? State treatment of lease-fuel rights and on-lease consumption varies by jurisdiction—particularly between Texas, Colorado, and North Dakota.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thick" w:color="F97316" w:sz="8"/>
              <w:left w:val="thick" w:color="F97316" w:sz="8"/>
              <w:bottom w:val="single" w:color="E0E0E0" w:sz="1"/>
              <w:right w:val="single" w:color="E0E0E0" w:sz="1"/>
            </w:tcBorders>
            <w:shd w:fill="FFF7ED" w:val="clear"/>
            <w:tcMar>
              <w:top w:type="dxa" w:w="120"/>
              <w:left w:type="dxa" w:w="200"/>
              <w:bottom w:type="dxa" w:w="120"/>
              <w:right w:type="dxa" w:w="200"/>
            </w:tcMar>
          </w:tcPr>
          <w:p>
            <w:pPr>
              <w:spacing w:before="0" w:after="60"/>
            </w:pPr>
            <w:r>
              <w:rPr>
                <w:rFonts w:ascii="Arial" w:cs="Arial" w:eastAsia="Arial" w:hAnsi="Arial"/>
                <w:b/>
                <w:bCs/>
                <w:color w:val="F97316"/>
                <w:sz w:val="20"/>
                <w:szCs w:val="20"/>
              </w:rPr>
              <w:t xml:space="preserve">Practical Note on Negotiation</w:t>
            </w:r>
          </w:p>
          <w:p>
            <w:pPr>
              <w:spacing w:before="0" w:after="0"/>
            </w:pPr>
            <w:r>
              <w:rPr>
                <w:rFonts w:ascii="Arial" w:cs="Arial" w:eastAsia="Arial" w:hAnsi="Arial"/>
                <w:color w:val="1A1A1A"/>
                <w:sz w:val="21"/>
                <w:szCs w:val="21"/>
              </w:rPr>
              <w:t xml:space="preserve">In MCF.digital’s experience, midstream providers who are approached directly and transparently about a carve-out arrangement often consent—particularly when the carve-out volume is modest (under 30% of total production) and when the operator commits to maintaining pipeline delivery on the remaining volumes. Consent letters or contract amendments are typically achievable in 30–60 days where the relationship is constructive. Operators should not assume that a restrictive dedication clause is the end of the conversation.</w:t>
            </w:r>
          </w:p>
        </w:tc>
      </w:tr>
    </w:tbl>
    <w:p>
      <w:pPr>
        <w:pStyle w:val="Heading1"/>
        <w:pBdr>
          <w:bottom w:val="single" w:color="F97316" w:sz="3"/>
        </w:pBdr>
        <w:spacing w:before="440" w:after="160"/>
      </w:pPr>
      <w:r>
        <w:rPr>
          <w:rFonts w:ascii="Arial" w:cs="Arial" w:eastAsia="Arial" w:hAnsi="Arial"/>
          <w:b/>
          <w:bCs/>
          <w:color w:val="0A0A0A"/>
          <w:sz w:val="28"/>
          <w:szCs w:val="28"/>
        </w:rPr>
        <w:t xml:space="preserve">6. From Analysis to Execution: Five Steps to a Live Carve-Out</w:t>
      </w:r>
    </w:p>
    <w:p>
      <w:pPr>
        <w:pStyle w:val="ListParagraph"/>
        <w:numPr>
          <w:ilvl w:val="0"/>
          <w:numId w:val="2"/>
        </w:numPr>
        <w:spacing w:after="120"/>
      </w:pPr>
      <w:r>
        <w:rPr>
          <w:rFonts w:ascii="Arial" w:cs="Arial" w:eastAsia="Arial" w:hAnsi="Arial"/>
          <w:b/>
          <w:bCs/>
          <w:color w:val="1A1A1A"/>
          <w:sz w:val="22"/>
          <w:szCs w:val="22"/>
        </w:rPr>
        <w:t xml:space="preserve">Use the MCF.digital calculator at tools.mcf.digital to model your specific gas volumes, current netback, and the on-lease alternative under all three hashprice scenarios. Identify which deal structure produces the best risk-adjusted outcome.</w:t>
      </w:r>
      <w:r>
        <w:rPr>
          <w:rFonts w:ascii="Arial" w:cs="Arial" w:eastAsia="Arial" w:hAnsi="Arial"/>
          <w:color w:val="4A4A4A"/>
          <w:sz w:val="22"/>
          <w:szCs w:val="22"/>
        </w:rPr>
        <w:t xml:space="preserve">Run the economics first. </w:t>
      </w:r>
    </w:p>
    <w:p>
      <w:pPr>
        <w:pStyle w:val="ListParagraph"/>
        <w:numPr>
          <w:ilvl w:val="0"/>
          <w:numId w:val="2"/>
        </w:numPr>
        <w:spacing w:after="120"/>
      </w:pPr>
      <w:r>
        <w:rPr>
          <w:rFonts w:ascii="Arial" w:cs="Arial" w:eastAsia="Arial" w:hAnsi="Arial"/>
          <w:b/>
          <w:bCs/>
          <w:color w:val="1A1A1A"/>
          <w:sz w:val="22"/>
          <w:szCs w:val="22"/>
        </w:rPr>
        <w:t xml:space="preserve">Locate the current executed gathering and processing agreement, including all amendments. Provide to energy counsel with the specific review questions from Section 5.3.</w:t>
      </w:r>
      <w:r>
        <w:rPr>
          <w:rFonts w:ascii="Arial" w:cs="Arial" w:eastAsia="Arial" w:hAnsi="Arial"/>
          <w:color w:val="4A4A4A"/>
          <w:sz w:val="22"/>
          <w:szCs w:val="22"/>
        </w:rPr>
        <w:t xml:space="preserve">Pull your midstream contract. </w:t>
      </w:r>
    </w:p>
    <w:p>
      <w:pPr>
        <w:pStyle w:val="ListParagraph"/>
        <w:numPr>
          <w:ilvl w:val="0"/>
          <w:numId w:val="2"/>
        </w:numPr>
        <w:spacing w:after="120"/>
      </w:pPr>
      <w:r>
        <w:rPr>
          <w:rFonts w:ascii="Arial" w:cs="Arial" w:eastAsia="Arial" w:hAnsi="Arial"/>
          <w:b/>
          <w:bCs/>
          <w:color w:val="1A1A1A"/>
          <w:sz w:val="22"/>
          <w:szCs w:val="22"/>
        </w:rPr>
        <w:t xml:space="preserve">Work with your reservoir and production team to identify the volumes available for diversion: which pads, which volumes, and whether gas quality and wellhead pressure meet the on-lease threshold (200+ Mcf/d, methane number 70+, 15+ psig).</w:t>
      </w:r>
      <w:r>
        <w:rPr>
          <w:rFonts w:ascii="Arial" w:cs="Arial" w:eastAsia="Arial" w:hAnsi="Arial"/>
          <w:color w:val="4A4A4A"/>
          <w:sz w:val="22"/>
          <w:szCs w:val="22"/>
        </w:rPr>
        <w:t xml:space="preserve">Confirm the carve-out volume. </w:t>
      </w:r>
    </w:p>
    <w:p>
      <w:pPr>
        <w:pStyle w:val="ListParagraph"/>
        <w:numPr>
          <w:ilvl w:val="0"/>
          <w:numId w:val="2"/>
        </w:numPr>
        <w:spacing w:after="120"/>
      </w:pPr>
      <w:r>
        <w:rPr>
          <w:rFonts w:ascii="Arial" w:cs="Arial" w:eastAsia="Arial" w:hAnsi="Arial"/>
          <w:b/>
          <w:bCs/>
          <w:color w:val="1A1A1A"/>
          <w:sz w:val="22"/>
          <w:szCs w:val="22"/>
        </w:rPr>
        <w:t xml:space="preserve">Once the legal review is complete and volumes are confirmed, schedule a site survey. MCF.digital conducts a gas sampling, site inspection, and connectivity test at no charge to the operator. The survey is the basis for the final deal term sheet.</w:t>
      </w:r>
      <w:r>
        <w:rPr>
          <w:rFonts w:ascii="Arial" w:cs="Arial" w:eastAsia="Arial" w:hAnsi="Arial"/>
          <w:color w:val="4A4A4A"/>
          <w:sz w:val="22"/>
          <w:szCs w:val="22"/>
        </w:rPr>
        <w:t xml:space="preserve">Engage MCF.digital for a site survey. </w:t>
      </w:r>
    </w:p>
    <w:p>
      <w:pPr>
        <w:pStyle w:val="ListParagraph"/>
        <w:numPr>
          <w:ilvl w:val="0"/>
          <w:numId w:val="2"/>
        </w:numPr>
        <w:spacing w:after="120"/>
      </w:pPr>
      <w:r>
        <w:rPr>
          <w:rFonts w:ascii="Arial" w:cs="Arial" w:eastAsia="Arial" w:hAnsi="Arial"/>
          <w:b/>
          <w:bCs/>
          <w:color w:val="1A1A1A"/>
          <w:sz w:val="22"/>
          <w:szCs w:val="22"/>
        </w:rPr>
        <w:t xml:space="preserve">Once the agreement is executed, provide any required notice to the midstream provider. Schedule the deployment timeline (typically 45–60 days from execution to first hash). Confirm flaring cessation notification to the applicable state regulator.</w:t>
      </w:r>
      <w:r>
        <w:rPr>
          <w:rFonts w:ascii="Arial" w:cs="Arial" w:eastAsia="Arial" w:hAnsi="Arial"/>
          <w:color w:val="4A4A4A"/>
          <w:sz w:val="22"/>
          <w:szCs w:val="22"/>
        </w:rPr>
        <w:t xml:space="preserve">Execute and notify. </w:t>
      </w:r>
    </w:p>
    <w:p>
      <w:pPr>
        <w:pStyle w:val="Heading1"/>
        <w:pBdr>
          <w:bottom w:val="single" w:color="F97316" w:sz="3"/>
        </w:pBdr>
        <w:spacing w:before="440" w:after="160"/>
      </w:pPr>
      <w:r>
        <w:rPr>
          <w:rFonts w:ascii="Arial" w:cs="Arial" w:eastAsia="Arial" w:hAnsi="Arial"/>
          <w:b/>
          <w:bCs/>
          <w:color w:val="0A0A0A"/>
          <w:sz w:val="28"/>
          <w:szCs w:val="28"/>
        </w:rPr>
        <w:t xml:space="preserve">7. References and Further Reading</w:t>
      </w:r>
    </w:p>
    <w:p>
      <w:pPr>
        <w:pStyle w:val="Heading2"/>
        <w:spacing w:before="300" w:after="120"/>
      </w:pPr>
      <w:r>
        <w:rPr>
          <w:rFonts w:ascii="Arial" w:cs="Arial" w:eastAsia="Arial" w:hAnsi="Arial"/>
          <w:b/>
          <w:bCs/>
          <w:color w:val="1A1A1A"/>
          <w:sz w:val="24"/>
          <w:szCs w:val="24"/>
        </w:rPr>
        <w:t xml:space="preserve">Regulatory and Legal</w:t>
      </w:r>
    </w:p>
    <w:p>
      <w:pPr>
        <w:pStyle w:val="ListParagraph"/>
        <w:numPr>
          <w:ilvl w:val="0"/>
          <w:numId w:val="3"/>
        </w:numPr>
        <w:spacing w:after="120"/>
      </w:pPr>
      <w:r>
        <w:rPr>
          <w:rFonts w:ascii="Arial" w:cs="Arial" w:eastAsia="Arial" w:hAnsi="Arial"/>
          <w:color w:val="4A4A4A"/>
          <w:sz w:val="22"/>
          <w:szCs w:val="22"/>
        </w:rPr>
        <w:t xml:space="preserve">Texas Railroad Commission. “Gas Gathering and Transportation Regulations.” rrc.texas.gov</w:t>
      </w:r>
    </w:p>
    <w:p>
      <w:pPr>
        <w:pStyle w:val="ListParagraph"/>
        <w:numPr>
          <w:ilvl w:val="0"/>
          <w:numId w:val="3"/>
        </w:numPr>
        <w:spacing w:after="120"/>
      </w:pPr>
      <w:r>
        <w:rPr>
          <w:rFonts w:ascii="Arial" w:cs="Arial" w:eastAsia="Arial" w:hAnsi="Arial"/>
          <w:color w:val="4A4A4A"/>
          <w:sz w:val="22"/>
          <w:szCs w:val="22"/>
        </w:rPr>
        <w:t xml:space="preserve">Colorado COGCC. “Rule 902: Gas Capture and Measurement.” cogcc.state.co.us</w:t>
      </w:r>
    </w:p>
    <w:p>
      <w:pPr>
        <w:pStyle w:val="ListParagraph"/>
        <w:numPr>
          <w:ilvl w:val="0"/>
          <w:numId w:val="3"/>
        </w:numPr>
        <w:spacing w:after="120"/>
      </w:pPr>
      <w:r>
        <w:rPr>
          <w:rFonts w:ascii="Arial" w:cs="Arial" w:eastAsia="Arial" w:hAnsi="Arial"/>
          <w:color w:val="4A4A4A"/>
          <w:sz w:val="22"/>
          <w:szCs w:val="22"/>
        </w:rPr>
        <w:t xml:space="preserve">North Dakota NDIC. “Gas Capture Compliance Requirements.” ndic.nd.gov</w:t>
      </w:r>
    </w:p>
    <w:p>
      <w:pPr>
        <w:pStyle w:val="ListParagraph"/>
        <w:numPr>
          <w:ilvl w:val="0"/>
          <w:numId w:val="3"/>
        </w:numPr>
        <w:spacing w:after="120"/>
      </w:pPr>
      <w:r>
        <w:rPr>
          <w:rFonts w:ascii="Arial" w:cs="Arial" w:eastAsia="Arial" w:hAnsi="Arial"/>
          <w:color w:val="4A4A4A"/>
          <w:sz w:val="22"/>
          <w:szCs w:val="22"/>
        </w:rPr>
        <w:t xml:space="preserve">Rocky Mountain Mineral Law Foundation. “Midstream Oil and Gas Agreements.” rmmlf.org (subscription)</w:t>
      </w:r>
    </w:p>
    <w:p>
      <w:pPr>
        <w:pStyle w:val="Heading2"/>
        <w:spacing w:before="300" w:after="120"/>
      </w:pPr>
      <w:r>
        <w:rPr>
          <w:rFonts w:ascii="Arial" w:cs="Arial" w:eastAsia="Arial" w:hAnsi="Arial"/>
          <w:b/>
          <w:bCs/>
          <w:color w:val="1A1A1A"/>
          <w:sz w:val="24"/>
          <w:szCs w:val="24"/>
        </w:rPr>
        <w:t xml:space="preserve">Market and Economic Data</w:t>
      </w:r>
    </w:p>
    <w:p>
      <w:pPr>
        <w:pStyle w:val="ListParagraph"/>
        <w:numPr>
          <w:ilvl w:val="0"/>
          <w:numId w:val="3"/>
        </w:numPr>
        <w:spacing w:after="120"/>
      </w:pPr>
      <w:r>
        <w:rPr>
          <w:rFonts w:ascii="Arial" w:cs="Arial" w:eastAsia="Arial" w:hAnsi="Arial"/>
          <w:color w:val="4A4A4A"/>
          <w:sz w:val="22"/>
          <w:szCs w:val="22"/>
        </w:rPr>
        <w:t xml:space="preserve">U.S. Energy Information Administration. “Natural Gas Weekly Update.” EIA.gov (weekly)</w:t>
      </w:r>
    </w:p>
    <w:p>
      <w:pPr>
        <w:pStyle w:val="ListParagraph"/>
        <w:numPr>
          <w:ilvl w:val="0"/>
          <w:numId w:val="3"/>
        </w:numPr>
        <w:spacing w:after="120"/>
      </w:pPr>
      <w:r>
        <w:rPr>
          <w:rFonts w:ascii="Arial" w:cs="Arial" w:eastAsia="Arial" w:hAnsi="Arial"/>
          <w:color w:val="4A4A4A"/>
          <w:sz w:val="22"/>
          <w:szCs w:val="22"/>
        </w:rPr>
        <w:t xml:space="preserve">S&amp;P Global Platts. “Gas Basis Differentials and Gathering Cost Analysis.” spglobal.com (subscription)</w:t>
      </w:r>
    </w:p>
    <w:p>
      <w:pPr>
        <w:pStyle w:val="ListParagraph"/>
        <w:numPr>
          <w:ilvl w:val="0"/>
          <w:numId w:val="3"/>
        </w:numPr>
        <w:spacing w:after="120"/>
      </w:pPr>
      <w:r>
        <w:rPr>
          <w:rFonts w:ascii="Arial" w:cs="Arial" w:eastAsia="Arial" w:hAnsi="Arial"/>
          <w:color w:val="4A4A4A"/>
          <w:sz w:val="22"/>
          <w:szCs w:val="22"/>
        </w:rPr>
        <w:t xml:space="preserve">Hashrate Index. “Hashprice and Revenue Data.” hashrateindex.com (real-time)</w:t>
      </w:r>
    </w:p>
    <w:p>
      <w:pPr>
        <w:pStyle w:val="ListParagraph"/>
        <w:numPr>
          <w:ilvl w:val="0"/>
          <w:numId w:val="3"/>
        </w:numPr>
        <w:spacing w:after="120"/>
      </w:pPr>
      <w:r>
        <w:rPr>
          <w:rFonts w:ascii="Arial" w:cs="Arial" w:eastAsia="Arial" w:hAnsi="Arial"/>
          <w:color w:val="4A4A4A"/>
          <w:sz w:val="22"/>
          <w:szCs w:val="22"/>
        </w:rPr>
        <w:t xml:space="preserve">EIA. “Natural Gas Annual Survey: Gathering and Transportation Costs.” EIA.gov</w:t>
      </w:r>
    </w:p>
    <w:p>
      <w:pPr>
        <w:pStyle w:val="Heading2"/>
        <w:spacing w:before="300" w:after="120"/>
      </w:pPr>
      <w:r>
        <w:rPr>
          <w:rFonts w:ascii="Arial" w:cs="Arial" w:eastAsia="Arial" w:hAnsi="Arial"/>
          <w:b/>
          <w:bCs/>
          <w:color w:val="1A1A1A"/>
          <w:sz w:val="24"/>
          <w:szCs w:val="24"/>
        </w:rPr>
        <w:t xml:space="preserve">Related MCF.digital Resources</w:t>
      </w:r>
    </w:p>
    <w:p>
      <w:pPr>
        <w:pStyle w:val="ListParagraph"/>
        <w:numPr>
          <w:ilvl w:val="0"/>
          <w:numId w:val="3"/>
        </w:numPr>
        <w:spacing w:after="120"/>
      </w:pPr>
      <w:r>
        <w:rPr>
          <w:rFonts w:ascii="Arial" w:cs="Arial" w:eastAsia="Arial" w:hAnsi="Arial"/>
          <w:color w:val="4A4A4A"/>
          <w:sz w:val="22"/>
          <w:szCs w:val="22"/>
        </w:rPr>
        <w:t xml:space="preserve">WP-1: Flare → Bitcoin Blueprint — Full feasibility framework for flare-gas operators</w:t>
      </w:r>
    </w:p>
    <w:p>
      <w:pPr>
        <w:pStyle w:val="ListParagraph"/>
        <w:numPr>
          <w:ilvl w:val="0"/>
          <w:numId w:val="3"/>
        </w:numPr>
        <w:spacing w:after="120"/>
      </w:pPr>
      <w:r>
        <w:rPr>
          <w:rFonts w:ascii="Arial" w:cs="Arial" w:eastAsia="Arial" w:hAnsi="Arial"/>
          <w:color w:val="4A4A4A"/>
          <w:sz w:val="22"/>
          <w:szCs w:val="22"/>
        </w:rPr>
        <w:t xml:space="preserve">OG-2: How to Improve Low Gas Netbacks Without Midstream — Extended operator guide</w:t>
      </w:r>
    </w:p>
    <w:p>
      <w:pPr>
        <w:pStyle w:val="ListParagraph"/>
        <w:numPr>
          <w:ilvl w:val="0"/>
          <w:numId w:val="3"/>
        </w:numPr>
        <w:spacing w:after="120"/>
      </w:pPr>
      <w:r>
        <w:rPr>
          <w:rFonts w:ascii="Arial" w:cs="Arial" w:eastAsia="Arial" w:hAnsi="Arial"/>
          <w:color w:val="4A4A4A"/>
          <w:sz w:val="22"/>
          <w:szCs w:val="22"/>
        </w:rPr>
        <w:t xml:space="preserve">G-3: What Is Gas Netback? — Definitional glossary page</w:t>
      </w:r>
    </w:p>
    <w:p>
      <w:pPr>
        <w:pStyle w:val="ListParagraph"/>
        <w:numPr>
          <w:ilvl w:val="0"/>
          <w:numId w:val="3"/>
        </w:numPr>
        <w:spacing w:after="120"/>
      </w:pPr>
      <w:r>
        <w:rPr>
          <w:rFonts w:ascii="Arial" w:cs="Arial" w:eastAsia="Arial" w:hAnsi="Arial"/>
          <w:color w:val="4A4A4A"/>
          <w:sz w:val="22"/>
          <w:szCs w:val="22"/>
        </w:rPr>
        <w:t xml:space="preserve">tools.mcf.digital — Netback comparison calculator and deployment model</w:t>
      </w:r>
    </w:p>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F97316" w:sz="12"/>
              <w:left w:val="single" w:color="E0E0E0" w:sz="1"/>
              <w:bottom w:val="thick" w:color="F97316" w:sz="12"/>
              <w:right w:val="single" w:color="E0E0E0" w:sz="1"/>
            </w:tcBorders>
            <w:shd w:fill="1A1A1A" w:val="clear"/>
            <w:tcMar>
              <w:top w:type="dxa" w:w="280"/>
              <w:left w:type="dxa" w:w="360"/>
              <w:bottom w:type="dxa" w:w="280"/>
              <w:right w:type="dxa" w:w="360"/>
            </w:tcMar>
          </w:tcPr>
          <w:p>
            <w:pPr>
              <w:spacing w:after="120"/>
              <w:jc w:val="center"/>
            </w:pPr>
            <w:r>
              <w:rPr>
                <w:rFonts w:ascii="Arial" w:cs="Arial" w:eastAsia="Arial" w:hAnsi="Arial"/>
                <w:b/>
                <w:bCs/>
                <w:color w:val="FFFFFF"/>
                <w:sz w:val="32"/>
                <w:szCs w:val="32"/>
              </w:rPr>
              <w:t xml:space="preserve">Run the numbers on your netback.</w:t>
            </w:r>
          </w:p>
          <w:p>
            <w:pPr>
              <w:spacing w:after="200"/>
              <w:jc w:val="center"/>
            </w:pPr>
            <w:r>
              <w:rPr>
                <w:rFonts w:ascii="Arial" w:cs="Arial" w:eastAsia="Arial" w:hAnsi="Arial"/>
                <w:color w:val="D4D4D4"/>
                <w:sz w:val="22"/>
                <w:szCs w:val="22"/>
              </w:rPr>
              <w:t xml:space="preserve">Use the MCF.digital calculator to compare your pipeline take-home against an on-lease carve-out at your specific gas volumes and prices.</w:t>
            </w:r>
          </w:p>
          <w:p>
            <w:pPr>
              <w:spacing w:after="120"/>
              <w:jc w:val="center"/>
            </w:pPr>
            <w:r>
              <w:rPr>
                <w:rFonts w:ascii="Arial" w:cs="Arial" w:eastAsia="Arial" w:hAnsi="Arial"/>
                <w:b/>
                <w:bCs/>
                <w:color w:val="F97316"/>
                <w:sz w:val="28"/>
                <w:szCs w:val="28"/>
              </w:rPr>
              <w:t xml:space="preserve">tools.mcf.digital</w:t>
            </w:r>
          </w:p>
          <w:p>
            <w:pPr>
              <w:spacing w:after="0"/>
              <w:jc w:val="center"/>
            </w:pPr>
            <w:r>
              <w:rPr>
                <w:rFonts w:ascii="Arial" w:cs="Arial" w:eastAsia="Arial" w:hAnsi="Arial"/>
                <w:color w:val="D4D4D4"/>
                <w:sz w:val="22"/>
                <w:szCs w:val="22"/>
              </w:rPr>
              <w:t xml:space="preserve">Or book a 15-minute fit call with an MCF.digital engineer.</w:t>
            </w:r>
          </w:p>
        </w:tc>
      </w:tr>
    </w:tbl>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3"/>
      </w:pBdr>
      <w:spacing w:before="120" w:after="0"/>
    </w:pPr>
    <w:r>
      <w:rPr>
        <w:rFonts w:ascii="Arial" w:cs="Arial" w:eastAsia="Arial" w:hAnsi="Arial"/>
        <w:color w:val="4A4A4A"/>
        <w:sz w:val="18"/>
        <w:szCs w:val="18"/>
      </w:rPr>
      <w:t xml:space="preserve">© 2026 MCF.DIGITAL  ·  mcf.digital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3"/>
      </w:pBdr>
      <w:spacing w:after="120"/>
    </w:pPr>
    <w:r>
      <w:rPr>
        <w:rFonts w:ascii="Arial" w:cs="Arial" w:eastAsia="Arial" w:hAnsi="Arial"/>
        <w:b/>
        <w:bCs/>
        <w:color w:val="F97316"/>
        <w:sz w:val="18"/>
        <w:szCs w:val="18"/>
      </w:rPr>
      <w:t xml:space="preserve">MCF.DIGITAL</w:t>
    </w:r>
    <w:r>
      <w:rPr>
        <w:rFonts w:ascii="Arial" w:cs="Arial" w:eastAsia="Arial" w:hAnsi="Arial"/>
        <w:color w:val="4A4A4A"/>
        <w:sz w:val="18"/>
        <w:szCs w:val="18"/>
      </w:rPr>
      <w:t xml:space="preserve">   |   Netback Fixer: The On-Lease Carve-Out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60"/>
      <w:outlineLvl w:val="0"/>
    </w:pPr>
    <w:rPr>
      <w:rFonts w:ascii="Arial" w:cs="Arial" w:eastAsia="Arial" w:hAnsi="Arial"/>
      <w:b/>
      <w:bCs/>
      <w:color w:val="0A0A0A"/>
      <w:sz w:val="28"/>
      <w:szCs w:val="28"/>
    </w:rPr>
  </w:style>
  <w:style w:type="paragraph" w:styleId="Heading2">
    <w:name w:val="Heading 2"/>
    <w:basedOn w:val="Normal"/>
    <w:next w:val="Normal"/>
    <w:qFormat/>
    <w:pPr>
      <w:spacing w:before="300" w:after="12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2026-02-27T12:56:28.807Z</dcterms:created>
  <dcterms:modified xsi:type="dcterms:W3CDTF">2026-02-27T12:56:28.807Z</dcterms:modified>
</cp:coreProperties>
</file>

<file path=docProps/custom.xml><?xml version="1.0" encoding="utf-8"?>
<Properties xmlns="http://schemas.openxmlformats.org/officeDocument/2006/custom-properties" xmlns:vt="http://schemas.openxmlformats.org/officeDocument/2006/docPropsVTypes"/>
</file>