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spacing w:after="80"/>
      </w:pPr>
      <w:r>
        <w:rPr>
          <w:rFonts w:ascii="Arial" w:cs="Arial" w:eastAsia="Arial" w:hAnsi="Arial"/>
          <w:b/>
          <w:bCs/>
          <w:color w:val="F97316"/>
          <w:sz w:val="64"/>
          <w:szCs w:val="64"/>
        </w:rPr>
        <w:t xml:space="preserve">MCF.DIGITAL</w:t>
      </w:r>
    </w:p>
    <w:p>
      <w:pPr>
        <w:spacing w:after="600"/>
      </w:pPr>
      <w:r>
        <w:rPr>
          <w:rFonts w:ascii="Arial" w:cs="Arial" w:eastAsia="Arial" w:hAnsi="Arial"/>
          <w:color w:val="4A4A4A"/>
          <w:sz w:val="22"/>
          <w:szCs w:val="22"/>
        </w:rPr>
        <w:t xml:space="preserve">Technical Reference  ·  WP-3  ·  2026</w:t>
      </w:r>
    </w:p>
    <w:p>
      <w:pPr>
        <w:spacing w:after="160"/>
      </w:pPr>
      <w:r>
        <w:rPr>
          <w:rFonts w:ascii="Arial" w:cs="Arial" w:eastAsia="Arial" w:hAnsi="Arial"/>
          <w:b/>
          <w:bCs/>
          <w:color w:val="0A0A0A"/>
          <w:sz w:val="56"/>
          <w:szCs w:val="56"/>
        </w:rPr>
        <w:t xml:space="preserve">BTU → BTC</w:t>
      </w:r>
    </w:p>
    <w:p>
      <w:pPr>
        <w:spacing w:after="200"/>
      </w:pPr>
      <w:r>
        <w:rPr>
          <w:rFonts w:ascii="Arial" w:cs="Arial" w:eastAsia="Arial" w:hAnsi="Arial"/>
          <w:b/>
          <w:bCs/>
          <w:color w:val="F97316"/>
          <w:sz w:val="40"/>
          <w:szCs w:val="40"/>
        </w:rPr>
        <w:t xml:space="preserve">Quick-Start Field Guide</w:t>
      </w:r>
    </w:p>
    <w:p>
      <w:pPr>
        <w:spacing w:after="600"/>
      </w:pPr>
      <w:r>
        <w:rPr>
          <w:rFonts w:ascii="Arial" w:cs="Arial" w:eastAsia="Arial" w:hAnsi="Arial"/>
          <w:color w:val="4A4A4A"/>
          <w:sz w:val="26"/>
          <w:szCs w:val="26"/>
        </w:rPr>
        <w:t xml:space="preserve">The Field-Ready Technical Reference for Miners Evaluating a Stranded Gas Pad</w:t>
      </w:r>
    </w:p>
    <w:p>
      <w:pPr>
        <w:pBdr>
          <w:bottom w:val="single" w:color="F97316" w:sz="4"/>
        </w:pBdr>
        <w:spacing w:before="0" w:after="240"/>
      </w:pPr>
      <w:r>
        <w:t xml:space="preserve"/>
      </w:r>
    </w:p>
    <w:p>
      <w:pPr>
        <w:spacing w:before="0" w:after="200"/>
      </w:pPr>
      <w:r>
        <w:t xml:space="preserve"/>
      </w:r>
    </w:p>
    <w:p>
      <w:pPr>
        <w:spacing w:after="1200"/>
      </w:pPr>
      <w:r>
        <w:rPr>
          <w:rFonts w:ascii="Arial" w:cs="Arial" w:eastAsia="Arial" w:hAnsi="Arial"/>
          <w:color w:val="4A4A4A"/>
          <w:sz w:val="22"/>
          <w:szCs w:val="22"/>
        </w:rPr>
        <w:t xml:space="preserve">Gas Quality Evaluation  ·  Genset Sizing Methodology  ·  ASIC Selection Matrix  ·  Connectivity Requirements  ·  Service Access Standards  ·  Pre-Deployment Inspection Protocol</w:t>
      </w:r>
    </w:p>
    <w:p>
      <w:pPr>
        <w:spacing w:after="80"/>
      </w:pPr>
      <w:r>
        <w:rPr>
          <w:rFonts w:ascii="Arial" w:cs="Arial" w:eastAsia="Arial" w:hAnsi="Arial"/>
          <w:color w:val="1A1A1A"/>
          <w:sz w:val="22"/>
          <w:szCs w:val="22"/>
        </w:rPr>
        <w:t xml:space="preserve">Written for miners and field engineers who need to know whether a specific pad will work—before the trucks roll.</w:t>
      </w:r>
    </w:p>
    <w:p>
      <w:pPr>
        <w:spacing w:after="0"/>
      </w:pPr>
      <w:r>
        <w:rPr>
          <w:rFonts w:ascii="Arial" w:cs="Arial" w:eastAsia="Arial" w:hAnsi="Arial"/>
          <w:color w:val="F97316"/>
          <w:sz w:val="22"/>
          <w:szCs w:val="22"/>
        </w:rPr>
        <w:t xml:space="preserve">tools.mcf.digital  ·  mcf.digital</w:t>
      </w:r>
    </w:p>
    <w:p>
      <w:pPr>
        <w:spacing w:before="0" w:after="0"/>
      </w:pPr>
      <w:r>
        <w:br w:type="page"/>
      </w:r>
    </w:p>
    <w:p>
      <w:pPr>
        <w:pStyle w:val="Heading1"/>
        <w:pBdr>
          <w:bottom w:val="single" w:color="F97316" w:sz="3"/>
        </w:pBdr>
        <w:spacing w:before="440" w:after="160"/>
      </w:pPr>
      <w:r>
        <w:rPr>
          <w:rFonts w:ascii="Arial" w:cs="Arial" w:eastAsia="Arial" w:hAnsi="Arial"/>
          <w:b/>
          <w:bCs/>
          <w:color w:val="0A0A0A"/>
          <w:sz w:val="28"/>
          <w:szCs w:val="28"/>
        </w:rPr>
        <w:t xml:space="preserve">How to Use This Guide</w:t>
      </w:r>
    </w:p>
    <w:p>
      <w:pPr>
        <w:spacing w:before="0" w:after="180"/>
        <w:jc w:val="left"/>
      </w:pPr>
      <w:r>
        <w:rPr>
          <w:rFonts w:ascii="Arial" w:cs="Arial" w:eastAsia="Arial" w:hAnsi="Arial"/>
          <w:b w:val="false"/>
          <w:bCs w:val="false"/>
          <w:color w:val="4A4A4A"/>
          <w:sz w:val="22"/>
          <w:szCs w:val="22"/>
        </w:rPr>
        <w:t xml:space="preserve">Stranded gas sites are not data centers. The power is variable, the gas is sometimes dirty, the sites are remote, and the infrastructure that a grid-connected facility takes for granted—stable voltage, fiber connectivity, climate-controlled aisles, on-call technicians—does not exist. Miners who treat a stranded gas pad like a colocation deployment will underperform. Miners who engineer for the field from the start will run profitably for years.</w:t>
      </w:r>
    </w:p>
    <w:p>
      <w:pPr>
        <w:spacing w:before="0" w:after="180"/>
        <w:jc w:val="left"/>
      </w:pPr>
      <w:r>
        <w:rPr>
          <w:rFonts w:ascii="Arial" w:cs="Arial" w:eastAsia="Arial" w:hAnsi="Arial"/>
          <w:b w:val="false"/>
          <w:bCs w:val="false"/>
          <w:color w:val="4A4A4A"/>
          <w:sz w:val="22"/>
          <w:szCs w:val="22"/>
        </w:rPr>
        <w:t xml:space="preserve">This guide is organized as a sequential evaluation workflow. Work through each section in order when assessing a new pad. Every section contains specific thresholds, pass/fail criteria, or checklists. If a pad fails a threshold in Section 1 or 2, do not proceed to the later sections—the site is not viable at current conditions.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8"/>
              <w:left w:val="single" w:color="E0E0E0" w:sz="1"/>
              <w:bottom w:val="thick" w:color="F97316" w:sz="8"/>
              <w:right w:val="single" w:color="E0E0E0" w:sz="1"/>
            </w:tcBorders>
            <w:shd w:fill="F5F5F5" w:val="clear"/>
            <w:tcMar>
              <w:top w:type="dxa" w:w="140"/>
              <w:left w:type="dxa" w:w="240"/>
              <w:bottom w:type="dxa" w:w="140"/>
              <w:right w:type="dxa" w:w="240"/>
            </w:tcMar>
          </w:tcPr>
          <w:p>
            <w:pPr>
              <w:spacing w:after="100"/>
            </w:pPr>
            <w:r>
              <w:rPr>
                <w:rFonts w:ascii="Arial" w:cs="Arial" w:eastAsia="Arial" w:hAnsi="Arial"/>
                <w:b/>
                <w:bCs/>
                <w:color w:val="1A1A1A"/>
                <w:sz w:val="22"/>
                <w:szCs w:val="22"/>
              </w:rPr>
              <w:t xml:space="preserve">Hard Go/No-Go Thresholds at a Glance</w:t>
            </w:r>
          </w:p>
          <w:p>
            <w:pPr>
              <w:spacing w:after="0"/>
            </w:pPr>
            <w:r>
              <w:rPr>
                <w:rFonts w:ascii="Arial" w:cs="Arial" w:eastAsia="Arial" w:hAnsi="Arial"/>
                <w:color w:val="4A4A4A"/>
                <w:sz w:val="21"/>
                <w:szCs w:val="21"/>
              </w:rPr>
              <w:t xml:space="preserve">Gas volume: ≥ 150 Mcf/day available  ·  Methane number: ≥ 70  ·  Wellhead pressure: ≥ 15 psig  ·  H₂S: &lt; 500 ppm (without additional treatment)  ·  Satellite LOS: confirmed  ·  Site access: year-round viable</w:t>
            </w:r>
          </w:p>
        </w:tc>
      </w:tr>
    </w:tbl>
    <w:p>
      <w:pPr>
        <w:spacing w:before="0" w:after="200"/>
      </w:pPr>
      <w:r>
        <w:t xml:space="preserve"/>
      </w:r>
    </w:p>
    <w:p>
      <w:pPr>
        <w:pStyle w:val="Heading1"/>
        <w:pBdr>
          <w:bottom w:val="single" w:color="F97316" w:sz="3"/>
        </w:pBdr>
        <w:spacing w:before="440" w:after="160"/>
      </w:pPr>
      <w:r>
        <w:rPr>
          <w:rFonts w:ascii="Arial" w:cs="Arial" w:eastAsia="Arial" w:hAnsi="Arial"/>
          <w:b/>
          <w:bCs/>
          <w:color w:val="0A0A0A"/>
          <w:sz w:val="28"/>
          <w:szCs w:val="28"/>
        </w:rPr>
        <w:t xml:space="preserve">1. Gas Quality Evaluation Checklist</w:t>
      </w:r>
    </w:p>
    <w:p>
      <w:pPr>
        <w:spacing w:before="0" w:after="180"/>
        <w:jc w:val="left"/>
      </w:pPr>
      <w:r>
        <w:rPr>
          <w:rFonts w:ascii="Arial" w:cs="Arial" w:eastAsia="Arial" w:hAnsi="Arial"/>
          <w:b w:val="false"/>
          <w:bCs w:val="false"/>
          <w:color w:val="4A4A4A"/>
          <w:sz w:val="22"/>
          <w:szCs w:val="22"/>
        </w:rPr>
        <w:t xml:space="preserve">Gas quality is the single most important variable in stranded gas mining viability. A site with perfect connectivity, accessible location, and a willing operator will still fail if the gas stream cannot sustain a natural gas genset at acceptable output. Evaluate gas quality first, before any other site assessment.</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1.1 Gas Sampling Protocol</w:t>
      </w:r>
    </w:p>
    <w:p>
      <w:pPr>
        <w:spacing w:before="0" w:after="180"/>
        <w:jc w:val="left"/>
      </w:pPr>
      <w:r>
        <w:rPr>
          <w:rFonts w:ascii="Arial" w:cs="Arial" w:eastAsia="Arial" w:hAnsi="Arial"/>
          <w:b w:val="false"/>
          <w:bCs w:val="false"/>
          <w:color w:val="4A4A4A"/>
          <w:sz w:val="22"/>
          <w:szCs w:val="22"/>
        </w:rPr>
        <w:t xml:space="preserve">Request a gas chromatograph (GC) analysis from the operator. Most operators with active production have recent GC data available; if not, arrange a sample collection on-site through a third-party lab. At minimum, the GC report should include:</w:t>
      </w:r>
    </w:p>
    <w:p>
      <w:pPr>
        <w:pStyle w:val="ListParagraph"/>
        <w:numPr>
          <w:ilvl w:val="0"/>
          <w:numId w:val="2"/>
        </w:numPr>
        <w:spacing w:after="120"/>
      </w:pPr>
      <w:r>
        <w:rPr>
          <w:rFonts w:ascii="Arial" w:cs="Arial" w:eastAsia="Arial" w:hAnsi="Arial"/>
          <w:color w:val="4A4A4A"/>
          <w:sz w:val="22"/>
          <w:szCs w:val="22"/>
        </w:rPr>
        <w:t xml:space="preserve">Compositional analysis (C1 through C6+ fractions) as mole percent</w:t>
      </w:r>
    </w:p>
    <w:p>
      <w:pPr>
        <w:pStyle w:val="ListParagraph"/>
        <w:numPr>
          <w:ilvl w:val="0"/>
          <w:numId w:val="2"/>
        </w:numPr>
        <w:spacing w:after="120"/>
      </w:pPr>
      <w:r>
        <w:rPr>
          <w:rFonts w:ascii="Arial" w:cs="Arial" w:eastAsia="Arial" w:hAnsi="Arial"/>
          <w:color w:val="4A4A4A"/>
          <w:sz w:val="22"/>
          <w:szCs w:val="22"/>
        </w:rPr>
        <w:t xml:space="preserve">Inert content: nitrogen (N₂) and carbon dioxide (CO₂) percentages</w:t>
      </w:r>
    </w:p>
    <w:p>
      <w:pPr>
        <w:pStyle w:val="ListParagraph"/>
        <w:numPr>
          <w:ilvl w:val="0"/>
          <w:numId w:val="2"/>
        </w:numPr>
        <w:spacing w:after="120"/>
      </w:pPr>
      <w:r>
        <w:rPr>
          <w:rFonts w:ascii="Arial" w:cs="Arial" w:eastAsia="Arial" w:hAnsi="Arial"/>
          <w:color w:val="4A4A4A"/>
          <w:sz w:val="22"/>
          <w:szCs w:val="22"/>
        </w:rPr>
        <w:t xml:space="preserve">H₂S content in ppm</w:t>
      </w:r>
    </w:p>
    <w:p>
      <w:pPr>
        <w:pStyle w:val="ListParagraph"/>
        <w:numPr>
          <w:ilvl w:val="0"/>
          <w:numId w:val="2"/>
        </w:numPr>
        <w:spacing w:after="120"/>
      </w:pPr>
      <w:r>
        <w:rPr>
          <w:rFonts w:ascii="Arial" w:cs="Arial" w:eastAsia="Arial" w:hAnsi="Arial"/>
          <w:color w:val="4A4A4A"/>
          <w:sz w:val="22"/>
          <w:szCs w:val="22"/>
        </w:rPr>
        <w:t xml:space="preserve">Calculated higher heating value (HHV) in BTU/scf</w:t>
      </w:r>
    </w:p>
    <w:p>
      <w:pPr>
        <w:pStyle w:val="ListParagraph"/>
        <w:numPr>
          <w:ilvl w:val="0"/>
          <w:numId w:val="2"/>
        </w:numPr>
        <w:spacing w:after="120"/>
      </w:pPr>
      <w:r>
        <w:rPr>
          <w:rFonts w:ascii="Arial" w:cs="Arial" w:eastAsia="Arial" w:hAnsi="Arial"/>
          <w:color w:val="4A4A4A"/>
          <w:sz w:val="22"/>
          <w:szCs w:val="22"/>
        </w:rPr>
        <w:t xml:space="preserve">Calculated Wobbe Index</w:t>
      </w:r>
    </w:p>
    <w:p>
      <w:pPr>
        <w:spacing w:before="0" w:after="180"/>
        <w:jc w:val="left"/>
      </w:pPr>
      <w:r>
        <w:rPr>
          <w:rFonts w:ascii="Arial" w:cs="Arial" w:eastAsia="Arial" w:hAnsi="Arial"/>
          <w:b w:val="false"/>
          <w:bCs w:val="false"/>
          <w:color w:val="4A4A4A"/>
          <w:sz w:val="22"/>
          <w:szCs w:val="22"/>
        </w:rPr>
        <w:t xml:space="preserve">If the operator cannot provide a GC report, a portable GC or combustion analyzer on-site during the survey visit can provide sufficient data for initial evaluation. Do not accept a verbal gas description as a substitute for compositional data.</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1.2 Gas Quality Evaluation Table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80"/>
        <w:gridCol w:w="1680"/>
        <w:gridCol w:w="2000"/>
      </w:tblGrid>
      <w:tr>
        <w:tc>
          <w:tcPr>
            <w:tcW w:type="dxa" w:w="24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Range</w:t>
            </w:r>
          </w:p>
        </w:tc>
        <w:tc>
          <w:tcPr>
            <w:tcW w:type="dxa" w:w="1680"/>
            <w:tcBorders>
              <w:top w:val="single" w:color="E0E0E0" w:sz="1"/>
              <w:left w:val="single" w:color="E0E0E0" w:sz="1"/>
              <w:bottom w:val="single" w:color="E0E0E0" w:sz="1"/>
              <w:right w:val="single" w:color="E0E0E0" w:sz="1"/>
            </w:tcBorders>
            <w:shd w:fill="F97316" w:val="clear"/>
            <w:tcMar>
              <w:top w:type="dxa" w:w="80"/>
              <w:left w:type="dxa" w:w="120"/>
              <w:bottom w:type="dxa" w:w="80"/>
              <w:right w:type="dxa" w:w="120"/>
            </w:tcMar>
          </w:tcPr>
          <w:p>
            <w:r>
              <w:rPr>
                <w:rFonts w:ascii="Arial" w:cs="Arial" w:eastAsia="Arial" w:hAnsi="Arial"/>
                <w:b/>
                <w:bCs/>
                <w:color w:val="FFFFFF"/>
                <w:sz w:val="20"/>
                <w:szCs w:val="20"/>
              </w:rPr>
              <w:t xml:space="preserve">Caution Zone</w:t>
            </w:r>
          </w:p>
        </w:tc>
        <w:tc>
          <w:tcPr>
            <w:tcW w:type="dxa" w:w="16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Disqualifying</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Why It Matters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Methane Number (MN)</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 75</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65–74</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&lt; 65</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Below 65 causes engine knock in standard gensets. Requires premium engine or derating.</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Methane Content (C1)</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 80 mol%</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70–79 mol%</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&lt; 70 mol%</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Rich gas reduces MN and may require conditioning or blending.</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Heating Value (HHV)</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950–1,150 BTU/scf</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1,150–1,300 BTU/scf</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&gt; 1,300 BTU/scf</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Above 1,150 BTU/scf without derating risks engine damage. May require NGL removal.</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H₂S Content</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&lt; 100 ppm</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100–500 ppm</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&gt; 500 ppm untreated</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Corrosive to engine internals and exhaust systems. Above 500 ppm requires H₂S scubber.</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CO₂ Content</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&lt; 3 mol%</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3–8 mol%</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&gt; 8 mol% untreated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Dilutes heating value, reduces MN. High CO₂ may require membrane separation.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N₂ (Nitrogen) Content</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&lt; 5 mol%</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5–15 mol%</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&gt; 15 mol%</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Reduces BTU content and lowers MN. Very high N₂ makes gas unsuitable for standard gensets.</w:t>
            </w:r>
          </w:p>
        </w:tc>
      </w:tr>
      <w:tr>
        <w:tc>
          <w:tcPr>
            <w:tcW w:type="dxa" w:w="2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Wellhead Pressure</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 50 psig</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15–49 psig</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&lt; 15 psig</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Low pressure requires boost compression upstream of genset, adding CapEx and OpEx.</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Liquid Carryover</w:t>
            </w:r>
          </w:p>
        </w:tc>
        <w:tc>
          <w:tcPr>
            <w:tcW w:type="dxa" w:w="160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None detected</w:t>
            </w:r>
          </w:p>
        </w:tc>
        <w:tc>
          <w:tcPr>
            <w:tcW w:type="dxa" w:w="168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&lt; 7 lb/MMscf NGL</w:t>
            </w:r>
          </w:p>
        </w:tc>
        <w:tc>
          <w:tcPr>
            <w:tcW w:type="dxa" w:w="168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&gt; 7 lb/MMscf or wet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Liquid slugs damage genset fuel systems. Gas conditioning / knockout required if liquids present.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thick" w:color="DC2626" w:sz="8"/>
              <w:left w:val="thick" w:color="DC2626" w:sz="8"/>
              <w:bottom w:val="single" w:color="E0E0E0" w:sz="1"/>
              <w:right w:val="single" w:color="E0E0E0" w:sz="1"/>
            </w:tcBorders>
            <w:shd w:fill="FEF2F2" w:val="clear"/>
            <w:tcMar>
              <w:top w:type="dxa" w:w="120"/>
              <w:left w:type="dxa" w:w="200"/>
              <w:bottom w:type="dxa" w:w="120"/>
              <w:right w:type="dxa" w:w="200"/>
            </w:tcMar>
          </w:tcPr>
          <w:p>
            <w:pPr>
              <w:spacing w:after="60"/>
            </w:pPr>
            <w:r>
              <w:rPr>
                <w:rFonts w:ascii="Arial" w:cs="Arial" w:eastAsia="Arial" w:hAnsi="Arial"/>
                <w:b/>
                <w:bCs/>
                <w:color w:val="DC2626"/>
                <w:sz w:val="20"/>
                <w:szCs w:val="20"/>
              </w:rPr>
              <w:t xml:space="preserve">Field Reality: Methane Number Is Not Negotiable</w:t>
            </w:r>
          </w:p>
          <w:p>
            <w:pPr>
              <w:spacing w:after="0"/>
            </w:pPr>
            <w:r>
              <w:rPr>
                <w:rFonts w:ascii="Arial" w:cs="Arial" w:eastAsia="Arial" w:hAnsi="Arial"/>
                <w:color w:val="1A1A1A"/>
                <w:sz w:val="21"/>
                <w:szCs w:val="21"/>
              </w:rPr>
              <w:t xml:space="preserve">The most common mistake miners make on stranded gas sites is accepting an operator’s assurance that ‘the gas is mostly methane’ without calculating the actual methane number from a GC analysis. Associated gas from oil production frequently contains significant C2–C4 fractions that dramatically reduce the methane number. A gas stream that is 78% methane with 12% ethane, 6% propane, and 4% heavier fractions may have a methane number below 60—well below the safe operating threshold for most standard gensets.</w:t>
            </w:r>
          </w:p>
        </w:tc>
      </w:tr>
    </w:tbl>
    <w:p>
      <w:pPr>
        <w:spacing w:before="0" w:after="120"/>
      </w:pPr>
      <w:r>
        <w:t xml:space="preserve"/>
      </w:r>
    </w:p>
    <w:p>
      <w:pPr>
        <w:pStyle w:val="Heading2"/>
        <w:spacing w:before="300" w:after="120"/>
      </w:pPr>
      <w:r>
        <w:rPr>
          <w:rFonts w:ascii="Arial" w:cs="Arial" w:eastAsia="Arial" w:hAnsi="Arial"/>
          <w:b/>
          <w:bCs/>
          <w:color w:val="1A1A1A"/>
          <w:sz w:val="24"/>
          <w:szCs w:val="24"/>
        </w:rPr>
        <w:t xml:space="preserve">1.3 Gas Volume Confirmation</w:t>
      </w:r>
    </w:p>
    <w:p>
      <w:pPr>
        <w:spacing w:before="0" w:after="180"/>
        <w:jc w:val="left"/>
      </w:pPr>
      <w:r>
        <w:rPr>
          <w:rFonts w:ascii="Arial" w:cs="Arial" w:eastAsia="Arial" w:hAnsi="Arial"/>
          <w:b w:val="false"/>
          <w:bCs w:val="false"/>
          <w:color w:val="4A4A4A"/>
          <w:sz w:val="22"/>
          <w:szCs w:val="22"/>
        </w:rPr>
        <w:t xml:space="preserve">Reported gas volumes and actual available volumes are frequently different. Before sizing a deployment, confirm:</w:t>
      </w:r>
    </w:p>
    <w:p>
      <w:pPr>
        <w:pStyle w:val="ListParagraph"/>
        <w:numPr>
          <w:ilvl w:val="0"/>
          <w:numId w:val="3"/>
        </w:numPr>
        <w:spacing w:after="120"/>
      </w:pPr>
      <w:r>
        <w:rPr>
          <w:rFonts w:ascii="Arial" w:cs="Arial" w:eastAsia="Arial" w:hAnsi="Arial"/>
          <w:color w:val="4A4A4A"/>
          <w:sz w:val="22"/>
          <w:szCs w:val="22"/>
        </w:rPr>
        <w:t xml:space="preserve">What is the current daily gas production rate? Obtain 30-day production history, not a single day reading.</w:t>
      </w:r>
    </w:p>
    <w:p>
      <w:pPr>
        <w:pStyle w:val="ListParagraph"/>
        <w:numPr>
          <w:ilvl w:val="0"/>
          <w:numId w:val="3"/>
        </w:numPr>
        <w:spacing w:after="120"/>
      </w:pPr>
      <w:r>
        <w:rPr>
          <w:rFonts w:ascii="Arial" w:cs="Arial" w:eastAsia="Arial" w:hAnsi="Arial"/>
          <w:color w:val="4A4A4A"/>
          <w:sz w:val="22"/>
          <w:szCs w:val="22"/>
        </w:rPr>
        <w:t xml:space="preserve">What fraction of total gas production is currently flared or vented versus sold to pipeline? Only the flared/vented/stranded fraction is available for the on-lease system.</w:t>
      </w:r>
    </w:p>
    <w:p>
      <w:pPr>
        <w:pStyle w:val="ListParagraph"/>
        <w:numPr>
          <w:ilvl w:val="0"/>
          <w:numId w:val="3"/>
        </w:numPr>
        <w:spacing w:after="120"/>
      </w:pPr>
      <w:r>
        <w:rPr>
          <w:rFonts w:ascii="Arial" w:cs="Arial" w:eastAsia="Arial" w:hAnsi="Arial"/>
          <w:color w:val="4A4A4A"/>
          <w:sz w:val="22"/>
          <w:szCs w:val="22"/>
        </w:rPr>
        <w:t xml:space="preserve">What is the decline rate on this well or pad? For producing wells, gas volumes typically decline over time. Model the deployment against the expected gas profile over 24–36 months, not current peak production.</w:t>
      </w:r>
    </w:p>
    <w:p>
      <w:pPr>
        <w:pStyle w:val="ListParagraph"/>
        <w:numPr>
          <w:ilvl w:val="0"/>
          <w:numId w:val="3"/>
        </w:numPr>
        <w:spacing w:after="120"/>
      </w:pPr>
      <w:r>
        <w:rPr>
          <w:rFonts w:ascii="Arial" w:cs="Arial" w:eastAsia="Arial" w:hAnsi="Arial"/>
          <w:color w:val="4A4A4A"/>
          <w:sz w:val="22"/>
          <w:szCs w:val="22"/>
        </w:rPr>
        <w:t xml:space="preserve">Is the gas volume seasonal? Some formations produce higher gas volumes during certain periods. Confirm whether the reported rate is representative of average annual production.</w:t>
      </w:r>
    </w:p>
    <w:p>
      <w:pPr>
        <w:pStyle w:val="Heading1"/>
        <w:pBdr>
          <w:bottom w:val="single" w:color="F97316" w:sz="3"/>
        </w:pBdr>
        <w:spacing w:before="440" w:after="160"/>
      </w:pPr>
      <w:r>
        <w:rPr>
          <w:rFonts w:ascii="Arial" w:cs="Arial" w:eastAsia="Arial" w:hAnsi="Arial"/>
          <w:b/>
          <w:bCs/>
          <w:color w:val="0A0A0A"/>
          <w:sz w:val="28"/>
          <w:szCs w:val="28"/>
        </w:rPr>
        <w:t xml:space="preserve">2. Genset Sizing Methodology</w:t>
      </w:r>
    </w:p>
    <w:p>
      <w:pPr>
        <w:spacing w:before="0" w:after="180"/>
        <w:jc w:val="left"/>
      </w:pPr>
      <w:r>
        <w:rPr>
          <w:rFonts w:ascii="Arial" w:cs="Arial" w:eastAsia="Arial" w:hAnsi="Arial"/>
          <w:b w:val="false"/>
          <w:bCs w:val="false"/>
          <w:color w:val="4A4A4A"/>
          <w:sz w:val="22"/>
          <w:szCs w:val="22"/>
        </w:rPr>
        <w:t xml:space="preserve">Generator sizing for field deployments is more complex than nameplate arithmetic. The rated output of a natural gas generator is established at standard conditions (sea level, 77°F, 29.92 in Hg). Every real-world site deviates from standard conditions—and every deviation reduces usable power output.</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2.1 The Derate Cascade</w:t>
      </w:r>
    </w:p>
    <w:p>
      <w:pPr>
        <w:spacing w:before="0" w:after="180"/>
        <w:jc w:val="left"/>
      </w:pPr>
      <w:r>
        <w:rPr>
          <w:rFonts w:ascii="Arial" w:cs="Arial" w:eastAsia="Arial" w:hAnsi="Arial"/>
          <w:b w:val="false"/>
          <w:bCs w:val="false"/>
          <w:color w:val="4A4A4A"/>
          <w:sz w:val="22"/>
          <w:szCs w:val="22"/>
        </w:rPr>
        <w:t xml:space="preserve">Derating is cumulative. Each environmental and fuel-quality factor reduces the generator’s available output, and the derates stack multiplicatively, not additively. A generator deployed at 5,000 feet elevation in hot weather on marginal-quality gas may produce only 70–75% of its nameplate rating.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60"/>
        <w:gridCol w:w="2300"/>
        <w:gridCol w:w="2300"/>
      </w:tblGrid>
      <w:tr>
        <w:tc>
          <w:tcPr>
            <w:tcW w:type="dxa" w:w="2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Derate Factor</w:t>
            </w:r>
          </w:p>
        </w:tc>
        <w:tc>
          <w:tcPr>
            <w:tcW w:type="dxa" w:w="21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Typical Rate</w:t>
            </w:r>
          </w:p>
        </w:tc>
        <w:tc>
          <w:tcPr>
            <w:tcW w:type="dxa" w:w="23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(500 kW Base)</w:t>
            </w:r>
          </w:p>
        </w:tc>
        <w:tc>
          <w:tcPr>
            <w:tcW w:type="dxa" w:w="23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Altitude (per 1,000 ft ASL)</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~3.0–4.0% per 1,000 ft</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5,000 ft: −18% → 410 kW</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Varies by engine model. Use OEM altitude chart for exact figure.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Ambient Temperature (above 77°F)</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per 10°F</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105°F peak: −2.8% → 399 kW</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Use peak summer temp at site, not annual average.</w:t>
            </w:r>
          </w:p>
        </w:tc>
      </w:tr>
      <w:tr>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Methane Number (below MN 80)</w:t>
            </w:r>
          </w:p>
        </w:tc>
        <w:tc>
          <w:tcPr>
            <w:tcW w:type="dxa" w:w="2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~1.5–2.5% per 5 MN pts</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MN 72: −4.0% → 383 kW</w:t>
            </w:r>
          </w:p>
        </w:tc>
        <w:tc>
          <w:tcPr>
            <w:tcW w:type="dxa" w:w="2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Consult OEM methane number derate curve. Cat, Cummins, and Kohler publish these.</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Parasitic / Auxiliary Loads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3–6% of nameplate</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−25 kW → 358 kW to ASICs</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Includes cooling fans, control systems, lighting, heat tape (cold climates).</w:t>
            </w:r>
          </w:p>
        </w:tc>
      </w:tr>
      <w:tr>
        <w:tc>
          <w:tcPr>
            <w:tcW w:type="dxa" w:w="260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Combined Derate (all factors)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Can reach 25–35%</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DC2626"/>
                <w:sz w:val="20"/>
                <w:szCs w:val="20"/>
              </w:rPr>
              <w:t xml:space="preserve">Net: ~358 kW from 500 kW nameplate</w:t>
            </w:r>
          </w:p>
        </w:tc>
        <w:tc>
          <w:tcPr>
            <w:tcW w:type="dxa" w:w="2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Always calculate the full derate cascade before sizing ASIC count.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after="60"/>
            </w:pPr>
            <w:r>
              <w:rPr>
                <w:rFonts w:ascii="Arial" w:cs="Arial" w:eastAsia="Arial" w:hAnsi="Arial"/>
                <w:b/>
                <w:bCs/>
                <w:color w:val="F97316"/>
                <w:sz w:val="20"/>
                <w:szCs w:val="20"/>
              </w:rPr>
              <w:t xml:space="preserve">Sizing Rule</w:t>
            </w:r>
          </w:p>
          <w:p>
            <w:pPr>
              <w:spacing w:after="0"/>
            </w:pPr>
            <w:r>
              <w:rPr>
                <w:rFonts w:ascii="Arial" w:cs="Arial" w:eastAsia="Arial" w:hAnsi="Arial"/>
                <w:color w:val="1A1A1A"/>
                <w:sz w:val="21"/>
                <w:szCs w:val="21"/>
              </w:rPr>
              <w:t xml:space="preserve">Never size an ASIC deployment to 100% of the genset’s net derated output. Target 90–95% of net available power to account for genset load-following variation, gas pressure fluctuations, and ASIC power draw variance across temperature. A genset running consistently above 95% load will accumulate heat stress and fail prematurely in field conditions.</w:t>
            </w:r>
          </w:p>
        </w:tc>
      </w:tr>
    </w:tbl>
    <w:p>
      <w:pPr>
        <w:spacing w:before="0" w:after="120"/>
      </w:pPr>
      <w:r>
        <w:t xml:space="preserve"/>
      </w:r>
    </w:p>
    <w:p>
      <w:pPr>
        <w:pStyle w:val="Heading2"/>
        <w:spacing w:before="300" w:after="120"/>
      </w:pPr>
      <w:r>
        <w:rPr>
          <w:rFonts w:ascii="Arial" w:cs="Arial" w:eastAsia="Arial" w:hAnsi="Arial"/>
          <w:b/>
          <w:bCs/>
          <w:color w:val="1A1A1A"/>
          <w:sz w:val="24"/>
          <w:szCs w:val="24"/>
        </w:rPr>
        <w:t xml:space="preserve">2.2 Step-by-Step Sizing Worksheet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c>
          <w:tcPr>
            <w:tcW w:type="dxa" w:w="6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24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Formula / Source</w:t>
            </w:r>
          </w:p>
        </w:tc>
        <w:tc>
          <w:tcPr>
            <w:tcW w:type="dxa" w:w="24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Your Site Value</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F97316"/>
                <w:sz w:val="20"/>
                <w:szCs w:val="20"/>
              </w:rPr>
              <w:t xml:space="preserve">1</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Record nameplate rating of selected genset</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OEM spec sheet (kW)</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2</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Apply altitude derate</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Nameplate × (1 − (elevation_ft / 1000) × derate_rate)</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F97316"/>
                <w:sz w:val="20"/>
                <w:szCs w:val="20"/>
              </w:rPr>
              <w:t xml:space="preserve">3</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Apply temperature derate</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Step 2 result × (1 − ((peak_temp − 77) / 10) × 0.01)</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4</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Apply methane number derate</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Step 3 result × OEM MN derate factor (from curve)</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F97316"/>
                <w:sz w:val="20"/>
                <w:szCs w:val="20"/>
              </w:rPr>
              <w:t xml:space="preserve">5</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Subtract parasitic / auxiliary loads</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Step 4 result − estimated aux load (kW)</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6</w:t>
            </w:r>
          </w:p>
        </w:tc>
        <w:tc>
          <w:tcPr>
            <w:tcW w:type="dxa" w:w="3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Apply 90–95% load factor (safety margin)</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Step 5 result × 0.92 (recommended)</w:t>
            </w:r>
          </w:p>
        </w:tc>
        <w:tc>
          <w:tcPr>
            <w:tcW w:type="dxa" w:w="24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kW available to ASICs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F97316"/>
                <w:sz w:val="20"/>
                <w:szCs w:val="20"/>
              </w:rPr>
              <w:t xml:space="preserve">7</w:t>
            </w:r>
          </w:p>
        </w:tc>
        <w:tc>
          <w:tcPr>
            <w:tcW w:type="dxa" w:w="3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Calculate ASIC count</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Step 6 result (W) ÷ ASIC TDP (W per unit)</w:t>
            </w:r>
          </w:p>
        </w:tc>
        <w:tc>
          <w:tcPr>
            <w:tcW w:type="dxa" w:w="24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units max</w:t>
            </w:r>
          </w:p>
        </w:tc>
      </w:tr>
    </w:tbl>
    <w:p>
      <w:pPr>
        <w:spacing w:before="0" w:after="120"/>
      </w:pPr>
      <w:r>
        <w:t xml:space="preserve"/>
      </w:r>
    </w:p>
    <w:p>
      <w:pPr>
        <w:pStyle w:val="Heading2"/>
        <w:spacing w:before="300" w:after="120"/>
      </w:pPr>
      <w:r>
        <w:rPr>
          <w:rFonts w:ascii="Arial" w:cs="Arial" w:eastAsia="Arial" w:hAnsi="Arial"/>
          <w:b/>
          <w:bCs/>
          <w:color w:val="1A1A1A"/>
          <w:sz w:val="24"/>
          <w:szCs w:val="24"/>
        </w:rPr>
        <w:t xml:space="preserve">2.3 Gas Consumption Cross-Check</w:t>
      </w:r>
    </w:p>
    <w:p>
      <w:pPr>
        <w:spacing w:before="0" w:after="180"/>
        <w:jc w:val="left"/>
      </w:pPr>
      <w:r>
        <w:rPr>
          <w:rFonts w:ascii="Arial" w:cs="Arial" w:eastAsia="Arial" w:hAnsi="Arial"/>
          <w:b w:val="false"/>
          <w:bCs w:val="false"/>
          <w:color w:val="4A4A4A"/>
          <w:sz w:val="22"/>
          <w:szCs w:val="22"/>
        </w:rPr>
        <w:t xml:space="preserve">After sizing the genset, cross-check that the required gas volume matches the available supply. Natural gas generators consume approximately 7,000–8,500 BTU per kWh of output (at rated load, field conditions). Use this range to estimate daily gas consumption: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Net Available Power (kW)</w:t>
            </w:r>
          </w:p>
        </w:tc>
        <w:tc>
          <w:tcPr>
            <w:tcW w:type="dxa" w:w="3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Daily kWh Output (92% uptime)</w:t>
            </w:r>
          </w:p>
        </w:tc>
        <w:tc>
          <w:tcPr>
            <w:tcW w:type="dxa" w:w="312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 Daily Gas Consumption (Mcf/d)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 kW</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2,208 kWh/day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~55–70 Mcf/day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 kW</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4,416 kWh/day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~110–140 Mcf/day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 kW</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7,728 kWh/day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~190–240 Mcf/day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500 kW</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11,040 kWh/day</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~275–345 Mcf/day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750 kW</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16,560 kWh/day</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~415–520 Mcf/day</w:t>
            </w:r>
          </w:p>
        </w:tc>
      </w:tr>
    </w:tbl>
    <w:p>
      <w:pPr>
        <w:spacing w:before="0" w:after="80"/>
      </w:pPr>
      <w:r>
        <w:t xml:space="preserve"/>
      </w:r>
    </w:p>
    <w:p>
      <w:pPr>
        <w:spacing w:before="0" w:after="180"/>
        <w:jc w:val="left"/>
      </w:pPr>
      <w:r>
        <w:rPr>
          <w:rFonts w:ascii="Arial" w:cs="Arial" w:eastAsia="Arial" w:hAnsi="Arial"/>
          <w:b w:val="false"/>
          <w:bCs w:val="false"/>
          <w:color w:val="4A4A4A"/>
          <w:sz w:val="22"/>
          <w:szCs w:val="22"/>
        </w:rPr>
        <w:t xml:space="preserve">If the estimated gas consumption exceeds available gas volume, downsize the genset. Never assume gas production will increase to meet a larger deployment—plan for the confirmed volume, not the aspirational one.</w:t>
      </w:r>
    </w:p>
    <w:p>
      <w:pPr>
        <w:pStyle w:val="Heading1"/>
        <w:pBdr>
          <w:bottom w:val="single" w:color="F97316" w:sz="3"/>
        </w:pBdr>
        <w:spacing w:before="440" w:after="160"/>
      </w:pPr>
      <w:r>
        <w:rPr>
          <w:rFonts w:ascii="Arial" w:cs="Arial" w:eastAsia="Arial" w:hAnsi="Arial"/>
          <w:b/>
          <w:bCs/>
          <w:color w:val="0A0A0A"/>
          <w:sz w:val="28"/>
          <w:szCs w:val="28"/>
        </w:rPr>
        <w:t xml:space="preserve">3. ASIC Model Selection Matrix for Field Conditions</w:t>
      </w:r>
    </w:p>
    <w:p>
      <w:pPr>
        <w:spacing w:before="0" w:after="180"/>
        <w:jc w:val="left"/>
      </w:pPr>
      <w:r>
        <w:rPr>
          <w:rFonts w:ascii="Arial" w:cs="Arial" w:eastAsia="Arial" w:hAnsi="Arial"/>
          <w:b w:val="false"/>
          <w:bCs w:val="false"/>
          <w:color w:val="4A4A4A"/>
          <w:sz w:val="22"/>
          <w:szCs w:val="22"/>
        </w:rPr>
        <w:t xml:space="preserve">Not all ASIC miners perform equally in field conditions. Models that run efficiently in climate-controlled warehouses may overheat, throttle, or fail at elevated rates in remote outdoor deployments. The selection criteria for field ASICs differ from data center criteria in several important ways.</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3.1 Field Condition Selection Criteria</w:t>
      </w:r>
    </w:p>
    <w:p>
      <w:pPr>
        <w:pStyle w:val="ListParagraph"/>
        <w:numPr>
          <w:ilvl w:val="0"/>
          <w:numId w:val="2"/>
        </w:numPr>
        <w:spacing w:after="120"/>
      </w:pPr>
      <w:r>
        <w:rPr>
          <w:rFonts w:ascii="Arial" w:cs="Arial" w:eastAsia="Arial" w:hAnsi="Arial"/>
          <w:b/>
          <w:bCs/>
          <w:color w:val="1A1A1A"/>
          <w:sz w:val="22"/>
          <w:szCs w:val="22"/>
        </w:rPr>
        <w:t xml:space="preserve">Prefer models with a rated inlet air temperature of 45°C (113°F) or higher. In uninsulated containers in Permian or Eagle Ford summers, internal air temperatures can reach 40–42°C even with active cooling.</w:t>
      </w:r>
      <w:r>
        <w:rPr>
          <w:rFonts w:ascii="Arial" w:cs="Arial" w:eastAsia="Arial" w:hAnsi="Arial"/>
          <w:color w:val="4A4A4A"/>
          <w:sz w:val="22"/>
          <w:szCs w:val="22"/>
        </w:rPr>
        <w:t xml:space="preserve">Thermal tolerance: </w:t>
      </w:r>
    </w:p>
    <w:p>
      <w:pPr>
        <w:pStyle w:val="ListParagraph"/>
        <w:numPr>
          <w:ilvl w:val="0"/>
          <w:numId w:val="2"/>
        </w:numPr>
        <w:spacing w:after="120"/>
      </w:pPr>
      <w:r>
        <w:rPr>
          <w:rFonts w:ascii="Arial" w:cs="Arial" w:eastAsia="Arial" w:hAnsi="Arial"/>
          <w:b/>
          <w:bCs/>
          <w:color w:val="1A1A1A"/>
          <w:sz w:val="22"/>
          <w:szCs w:val="22"/>
        </w:rPr>
        <w:t xml:space="preserve">In a field deployment, power is a constrained resource. Prioritize efficiency over raw hashrate. A unit with 18 J/TH at 200 TH/s is preferable to a 22 J/TH unit at 250 TH/s when power is the binding constraint.</w:t>
      </w:r>
      <w:r>
        <w:rPr>
          <w:rFonts w:ascii="Arial" w:cs="Arial" w:eastAsia="Arial" w:hAnsi="Arial"/>
          <w:color w:val="4A4A4A"/>
          <w:sz w:val="22"/>
          <w:szCs w:val="22"/>
        </w:rPr>
        <w:t xml:space="preserve">Efficiency (J/TH): </w:t>
      </w:r>
    </w:p>
    <w:p>
      <w:pPr>
        <w:pStyle w:val="ListParagraph"/>
        <w:numPr>
          <w:ilvl w:val="0"/>
          <w:numId w:val="2"/>
        </w:numPr>
        <w:spacing w:after="120"/>
      </w:pPr>
      <w:r>
        <w:rPr>
          <w:rFonts w:ascii="Arial" w:cs="Arial" w:eastAsia="Arial" w:hAnsi="Arial"/>
          <w:b/>
          <w:bCs/>
          <w:color w:val="1A1A1A"/>
          <w:sz w:val="22"/>
          <w:szCs w:val="22"/>
        </w:rPr>
        <w:t xml:space="preserve">Oil and gas pad environments produce significant airborne particulates—dust, fine silica, and hydrocarbon mist. ASICs with wider fan blade spacing and accessible filter frames perform better in these environments. Avoid models with tightly spaced fan arrays that clog rapidly.</w:t>
      </w:r>
      <w:r>
        <w:rPr>
          <w:rFonts w:ascii="Arial" w:cs="Arial" w:eastAsia="Arial" w:hAnsi="Arial"/>
          <w:color w:val="4A4A4A"/>
          <w:sz w:val="22"/>
          <w:szCs w:val="22"/>
        </w:rPr>
        <w:t xml:space="preserve">Dust and particulate tolerance: </w:t>
      </w:r>
    </w:p>
    <w:p>
      <w:pPr>
        <w:pStyle w:val="ListParagraph"/>
        <w:numPr>
          <w:ilvl w:val="0"/>
          <w:numId w:val="2"/>
        </w:numPr>
        <w:spacing w:after="120"/>
      </w:pPr>
      <w:r>
        <w:rPr>
          <w:rFonts w:ascii="Arial" w:cs="Arial" w:eastAsia="Arial" w:hAnsi="Arial"/>
          <w:b/>
          <w:bCs/>
          <w:color w:val="1A1A1A"/>
          <w:sz w:val="22"/>
          <w:szCs w:val="22"/>
        </w:rPr>
        <w:t xml:space="preserve">Remote pad ASICs must be manageable via software. Prefer models with stable pool-switching firmware and the ability to reboot, reconfigure, and soft-reset remotely without physical intervention.</w:t>
      </w:r>
      <w:r>
        <w:rPr>
          <w:rFonts w:ascii="Arial" w:cs="Arial" w:eastAsia="Arial" w:hAnsi="Arial"/>
          <w:color w:val="4A4A4A"/>
          <w:sz w:val="22"/>
          <w:szCs w:val="22"/>
        </w:rPr>
        <w:t xml:space="preserve">Firmware stability and remote management: </w:t>
      </w:r>
    </w:p>
    <w:p>
      <w:pPr>
        <w:pStyle w:val="ListParagraph"/>
        <w:numPr>
          <w:ilvl w:val="0"/>
          <w:numId w:val="2"/>
        </w:numPr>
        <w:spacing w:after="120"/>
      </w:pPr>
      <w:r>
        <w:rPr>
          <w:rFonts w:ascii="Arial" w:cs="Arial" w:eastAsia="Arial" w:hAnsi="Arial"/>
          <w:b/>
          <w:bCs/>
          <w:color w:val="1A1A1A"/>
          <w:sz w:val="22"/>
          <w:szCs w:val="22"/>
        </w:rPr>
        <w:t xml:space="preserve">Hash boards fail. Select models for which you have a reliable supply of replacement hash boards and control boards in your depot. Exotic or discontinued models with supply-constrained spare parts will cause extended downtime on remote sites.</w:t>
      </w:r>
      <w:r>
        <w:rPr>
          <w:rFonts w:ascii="Arial" w:cs="Arial" w:eastAsia="Arial" w:hAnsi="Arial"/>
          <w:color w:val="4A4A4A"/>
          <w:sz w:val="22"/>
          <w:szCs w:val="22"/>
        </w:rPr>
        <w:t xml:space="preserve">Repair part availability: </w:t>
      </w:r>
    </w:p>
    <w:p>
      <w:pPr>
        <w:spacing w:before="0" w:after="120"/>
      </w:pPr>
      <w:r>
        <w:t xml:space="preserve"/>
      </w:r>
    </w:p>
    <w:p>
      <w:pPr>
        <w:pStyle w:val="Heading2"/>
        <w:spacing w:before="300" w:after="120"/>
      </w:pPr>
      <w:r>
        <w:rPr>
          <w:rFonts w:ascii="Arial" w:cs="Arial" w:eastAsia="Arial" w:hAnsi="Arial"/>
          <w:b/>
          <w:bCs/>
          <w:color w:val="1A1A1A"/>
          <w:sz w:val="24"/>
          <w:szCs w:val="24"/>
        </w:rPr>
        <w:t xml:space="preserve">3.2 ASIC Model Selection Matrix</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300"/>
        <w:gridCol w:w="1330"/>
        <w:gridCol w:w="2330"/>
      </w:tblGrid>
      <w:tr>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Hashrate</w:t>
            </w:r>
          </w:p>
        </w:tc>
        <w:tc>
          <w:tcPr>
            <w:tcW w:type="dxa" w:w="1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Power (W)</w:t>
            </w:r>
          </w:p>
        </w:tc>
        <w:tc>
          <w:tcPr>
            <w:tcW w:type="dxa" w:w="13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Efficiency (J/TH)</w:t>
            </w:r>
          </w:p>
        </w:tc>
        <w:tc>
          <w:tcPr>
            <w:tcW w:type="dxa" w:w="133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Inlet Temp</w:t>
            </w:r>
          </w:p>
        </w:tc>
        <w:tc>
          <w:tcPr>
            <w:tcW w:type="dxa" w:w="233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 Assessment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Antminer S21 Pro</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234 TH/s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3,510 W</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15.0 J/TH</w:t>
            </w:r>
          </w:p>
        </w:tc>
        <w:tc>
          <w:tcPr>
            <w:tcW w:type="dxa" w:w="13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45°C</w:t>
            </w:r>
          </w:p>
        </w:tc>
        <w:tc>
          <w:tcPr>
            <w:tcW w:type="dxa" w:w="233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Recommended. Best efficiency in class, high temp tolerance. Excellent firmware.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Antminer S21</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200 TH/s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3,500 W</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17.5 J/TH</w:t>
            </w:r>
          </w:p>
        </w:tc>
        <w:tc>
          <w:tcPr>
            <w:tcW w:type="dxa" w:w="13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45°C</w:t>
            </w:r>
          </w:p>
        </w:tc>
        <w:tc>
          <w:tcPr>
            <w:tcW w:type="dxa" w:w="233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Recommended. Proven field reliability, broad spare part availability.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Antminer S19 XP</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140 TH/s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3,010 W</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21.5 J/TH</w:t>
            </w:r>
          </w:p>
        </w:tc>
        <w:tc>
          <w:tcPr>
            <w:tcW w:type="dxa" w:w="13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40°C</w:t>
            </w:r>
          </w:p>
        </w:tc>
        <w:tc>
          <w:tcPr>
            <w:tcW w:type="dxa" w:w="233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Acceptable. Lower temp rating requires careful container cooling design. Good parts supply.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Whatsminer M60S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186 TH/s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3,441 W</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18.5 J/TH</w:t>
            </w:r>
          </w:p>
        </w:tc>
        <w:tc>
          <w:tcPr>
            <w:tcW w:type="dxa" w:w="13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45°C</w:t>
            </w:r>
          </w:p>
        </w:tc>
        <w:tc>
          <w:tcPr>
            <w:tcW w:type="dxa" w:w="233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Recommended. Good efficiency, MicroBT’s hydro-cooling option useful for extreme heat.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Whatsminer M50S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126 TH/s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3,276 W</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26.0 J/TH</w:t>
            </w:r>
          </w:p>
        </w:tc>
        <w:tc>
          <w:tcPr>
            <w:tcW w:type="dxa" w:w="13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97706"/>
                <w:sz w:val="20"/>
                <w:szCs w:val="20"/>
              </w:rPr>
              <w:t xml:space="preserve">40°C</w:t>
            </w:r>
          </w:p>
        </w:tc>
        <w:tc>
          <w:tcPr>
            <w:tcW w:type="dxa" w:w="2330"/>
            <w:tcBorders>
              <w:top w:val="single" w:color="E0E0E0" w:sz="1"/>
              <w:left w:val="single" w:color="E0E0E0" w:sz="1"/>
              <w:bottom w:val="single" w:color="E0E0E0" w:sz="1"/>
              <w:right w:val="single" w:color="E0E0E0" w:sz="1"/>
            </w:tcBorders>
            <w:shd w:fill="FEF9C3" w:val="clear"/>
            <w:tcMar>
              <w:top w:type="dxa" w:w="80"/>
              <w:left w:type="dxa" w:w="120"/>
              <w:bottom w:type="dxa" w:w="80"/>
              <w:right w:type="dxa" w:w="120"/>
            </w:tcMar>
          </w:tcPr>
          <w:p>
            <w:r>
              <w:rPr>
                <w:rFonts w:ascii="Arial" w:cs="Arial" w:eastAsia="Arial" w:hAnsi="Arial"/>
                <w:b/>
                <w:bCs/>
                <w:color w:val="D97706"/>
                <w:sz w:val="20"/>
                <w:szCs w:val="20"/>
              </w:rPr>
              <w:t xml:space="preserve">⚠  Marginal. Lower efficiency reduces economics on constrained power budgets.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Antminer S19j Pro</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104 TH/s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3,068 W</w:t>
            </w:r>
          </w:p>
        </w:tc>
        <w:tc>
          <w:tcPr>
            <w:tcW w:type="dxa" w:w="13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29.5 J/TH</w:t>
            </w:r>
          </w:p>
        </w:tc>
        <w:tc>
          <w:tcPr>
            <w:tcW w:type="dxa" w:w="133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35°C</w:t>
            </w:r>
          </w:p>
        </w:tc>
        <w:tc>
          <w:tcPr>
            <w:tcW w:type="dxa" w:w="2330"/>
            <w:tcBorders>
              <w:top w:val="single" w:color="E0E0E0" w:sz="1"/>
              <w:left w:val="single" w:color="E0E0E0" w:sz="1"/>
              <w:bottom w:val="single" w:color="E0E0E0" w:sz="1"/>
              <w:right w:val="single" w:color="E0E0E0" w:sz="1"/>
            </w:tcBorders>
            <w:shd w:fill="FEE2E2" w:val="clear"/>
            <w:tcMar>
              <w:top w:type="dxa" w:w="80"/>
              <w:left w:type="dxa" w:w="120"/>
              <w:bottom w:type="dxa" w:w="80"/>
              <w:right w:type="dxa" w:w="120"/>
            </w:tcMar>
          </w:tcPr>
          <w:p>
            <w:r>
              <w:rPr>
                <w:rFonts w:ascii="Arial" w:cs="Arial" w:eastAsia="Arial" w:hAnsi="Arial"/>
                <w:b/>
                <w:bCs/>
                <w:color w:val="DC2626"/>
                <w:sz w:val="20"/>
                <w:szCs w:val="20"/>
              </w:rPr>
              <w:t xml:space="preserve">✗  Not recommended for new field deployments. Low temp tolerance, poor efficiency.</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Immersion-cooled (any model)</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Model-dependent</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Model-dependent</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Best in class</w:t>
            </w:r>
          </w:p>
        </w:tc>
        <w:tc>
          <w:tcPr>
            <w:tcW w:type="dxa" w:w="133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N/A (fluid)</w:t>
            </w:r>
          </w:p>
        </w:tc>
        <w:tc>
          <w:tcPr>
            <w:tcW w:type="dxa" w:w="2330"/>
            <w:tcBorders>
              <w:top w:val="single" w:color="E0E0E0" w:sz="1"/>
              <w:left w:val="single" w:color="E0E0E0" w:sz="1"/>
              <w:bottom w:val="single" w:color="E0E0E0" w:sz="1"/>
              <w:right w:val="single" w:color="E0E0E0" w:sz="1"/>
            </w:tcBorders>
            <w:shd w:fill="DCFCE7" w:val="clear"/>
            <w:tcMar>
              <w:top w:type="dxa" w:w="80"/>
              <w:left w:type="dxa" w:w="120"/>
              <w:bottom w:type="dxa" w:w="80"/>
              <w:right w:type="dxa" w:w="120"/>
            </w:tcMar>
          </w:tcPr>
          <w:p>
            <w:r>
              <w:rPr>
                <w:rFonts w:ascii="Arial" w:cs="Arial" w:eastAsia="Arial" w:hAnsi="Arial"/>
                <w:b/>
                <w:bCs/>
                <w:color w:val="16A34A"/>
                <w:sz w:val="20"/>
                <w:szCs w:val="20"/>
              </w:rPr>
              <w:t xml:space="preserve">✓  Best for extreme environments. High CapEx; use where air cooling is insufficient.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after="60"/>
            </w:pPr>
            <w:r>
              <w:rPr>
                <w:rFonts w:ascii="Arial" w:cs="Arial" w:eastAsia="Arial" w:hAnsi="Arial"/>
                <w:b/>
                <w:bCs/>
                <w:color w:val="F97316"/>
                <w:sz w:val="20"/>
                <w:szCs w:val="20"/>
              </w:rPr>
              <w:t xml:space="preserve">Container Cooling Design Note</w:t>
            </w:r>
          </w:p>
          <w:p>
            <w:pPr>
              <w:spacing w:after="0"/>
            </w:pPr>
            <w:r>
              <w:rPr>
                <w:rFonts w:ascii="Arial" w:cs="Arial" w:eastAsia="Arial" w:hAnsi="Arial"/>
                <w:color w:val="1A1A1A"/>
                <w:sz w:val="21"/>
                <w:szCs w:val="21"/>
              </w:rPr>
              <w:t xml:space="preserve">In standard air-cooled 40-ft containers, plan for a minimum of 1.5x the ASIC TDP in cooling capacity (in BTU/hr). At ambient temperatures above 35°C, passive cooling is insufficient. Evaporative cooling pads significantly reduce energy consumption versus compressor-based AC in low-humidity environments (Permian, Bakken). In high-humidity regions (Eagle Ford, Haynesville), mechanical cooling with external condenser units is required.</w:t>
            </w:r>
          </w:p>
        </w:tc>
      </w:tr>
    </w:tbl>
    <w:p>
      <w:pPr>
        <w:pStyle w:val="Heading1"/>
        <w:pBdr>
          <w:bottom w:val="single" w:color="F97316" w:sz="3"/>
        </w:pBdr>
        <w:spacing w:before="440" w:after="160"/>
      </w:pPr>
      <w:r>
        <w:rPr>
          <w:rFonts w:ascii="Arial" w:cs="Arial" w:eastAsia="Arial" w:hAnsi="Arial"/>
          <w:b/>
          <w:bCs/>
          <w:color w:val="0A0A0A"/>
          <w:sz w:val="28"/>
          <w:szCs w:val="28"/>
        </w:rPr>
        <w:t xml:space="preserve">4. Connectivity Requirements</w:t>
      </w:r>
    </w:p>
    <w:p>
      <w:pPr>
        <w:spacing w:before="0" w:after="180"/>
        <w:jc w:val="left"/>
      </w:pPr>
      <w:r>
        <w:rPr>
          <w:rFonts w:ascii="Arial" w:cs="Arial" w:eastAsia="Arial" w:hAnsi="Arial"/>
          <w:b w:val="false"/>
          <w:bCs w:val="false"/>
          <w:color w:val="4A4A4A"/>
          <w:sz w:val="22"/>
          <w:szCs w:val="22"/>
        </w:rPr>
        <w:t xml:space="preserve">Connectivity is not optional—it is a hard dependency for Bitcoin mining. Without a reliable connection to the mining pool, ASICs produce zero revenue. On remote stranded gas pads, cellular connectivity is frequently unavailable or insufficient, and satellite is the primary solution.</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4.1 Minimum Connectivity Specifications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22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Minimum Spec</w:t>
            </w:r>
          </w:p>
        </w:tc>
        <w:tc>
          <w:tcPr>
            <w:tcW w:type="dxa" w:w="22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Spec</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Downstream Bandwidth</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 Mbps</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 Mbps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Scales with ASIC count and pool protocol overhead.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Upstream Bandwidth</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Mbps</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 Mbps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Share submission and pool communication are upstream-intensive.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Latency (RTT to pool server)</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150 ms average</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80 ms average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latency increases stale shares and reduces effective hashrate by 0.5–2%.</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Latency Variability (Jitter)</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50 ms p95</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&lt; 20 ms p95</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Spiky latency causes share rejection even when average is acceptable.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Connection Uptime</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99.0% monthly</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99.5%+ monthly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Each hour of connectivity outage is an hour of lost mining revenue.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Failover / Redundancy</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Single link acceptable</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Dual-link failover (Starlink + cellular)</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Dual-link failover prevents total revenue loss during outages on sites with high-value deployments.</w:t>
            </w:r>
          </w:p>
        </w:tc>
      </w:tr>
    </w:tbl>
    <w:p>
      <w:pPr>
        <w:spacing w:before="0" w:after="120"/>
      </w:pPr>
      <w:r>
        <w:t xml:space="preserve"/>
      </w:r>
    </w:p>
    <w:p>
      <w:pPr>
        <w:pStyle w:val="Heading2"/>
        <w:spacing w:before="300" w:after="120"/>
      </w:pPr>
      <w:r>
        <w:rPr>
          <w:rFonts w:ascii="Arial" w:cs="Arial" w:eastAsia="Arial" w:hAnsi="Arial"/>
          <w:b/>
          <w:bCs/>
          <w:color w:val="1A1A1A"/>
          <w:sz w:val="24"/>
          <w:szCs w:val="24"/>
        </w:rPr>
        <w:t xml:space="preserve">4.2 Starlink for Remote Mining Sites</w:t>
      </w:r>
    </w:p>
    <w:p>
      <w:pPr>
        <w:spacing w:before="0" w:after="180"/>
        <w:jc w:val="left"/>
      </w:pPr>
      <w:r>
        <w:rPr>
          <w:rFonts w:ascii="Arial" w:cs="Arial" w:eastAsia="Arial" w:hAnsi="Arial"/>
          <w:b w:val="false"/>
          <w:bCs w:val="false"/>
          <w:color w:val="4A4A4A"/>
          <w:sz w:val="22"/>
          <w:szCs w:val="22"/>
        </w:rPr>
        <w:t xml:space="preserve">Starlink (SpaceX) is the connectivity solution for most stranded gas pad deployments. Standard Starlink Business or Starlink Flat High Performance hardware provides adequate performance for mid-size deployments. Key operational considerations:</w:t>
      </w:r>
    </w:p>
    <w:p>
      <w:pPr>
        <w:pStyle w:val="ListParagraph"/>
        <w:numPr>
          <w:ilvl w:val="0"/>
          <w:numId w:val="2"/>
        </w:numPr>
        <w:spacing w:after="120"/>
      </w:pPr>
      <w:r>
        <w:rPr>
          <w:rFonts w:ascii="Arial" w:cs="Arial" w:eastAsia="Arial" w:hAnsi="Arial"/>
          <w:b/>
          <w:bCs/>
          <w:color w:val="1A1A1A"/>
          <w:sz w:val="22"/>
          <w:szCs w:val="22"/>
        </w:rPr>
        <w:t xml:space="preserve">Starlink requires a clear view of the northern sky (in North America) with no obstructions above approximately 30° from horizontal in the beam path. Confirm LOS using the Starlink obstruction check app at the exact installation location before ordering hardware.</w:t>
      </w:r>
      <w:r>
        <w:rPr>
          <w:rFonts w:ascii="Arial" w:cs="Arial" w:eastAsia="Arial" w:hAnsi="Arial"/>
          <w:color w:val="4A4A4A"/>
          <w:sz w:val="22"/>
          <w:szCs w:val="22"/>
        </w:rPr>
        <w:t xml:space="preserve">Line-of-sight (LOS): </w:t>
      </w:r>
    </w:p>
    <w:p>
      <w:pPr>
        <w:pStyle w:val="ListParagraph"/>
        <w:numPr>
          <w:ilvl w:val="0"/>
          <w:numId w:val="2"/>
        </w:numPr>
        <w:spacing w:after="120"/>
      </w:pPr>
      <w:r>
        <w:rPr>
          <w:rFonts w:ascii="Arial" w:cs="Arial" w:eastAsia="Arial" w:hAnsi="Arial"/>
          <w:b/>
          <w:bCs/>
          <w:color w:val="1A1A1A"/>
          <w:sz w:val="22"/>
          <w:szCs w:val="22"/>
        </w:rPr>
        <w:t xml:space="preserve">A single Starlink Business terminal comfortably supports up to approximately 200–250 ASICs. For larger deployments (300+ units), deploy two terminals with load balancing and failover configured.</w:t>
      </w:r>
      <w:r>
        <w:rPr>
          <w:rFonts w:ascii="Arial" w:cs="Arial" w:eastAsia="Arial" w:hAnsi="Arial"/>
          <w:color w:val="4A4A4A"/>
          <w:sz w:val="22"/>
          <w:szCs w:val="22"/>
        </w:rPr>
        <w:t xml:space="preserve">ASIC count scaling: </w:t>
      </w:r>
    </w:p>
    <w:p>
      <w:pPr>
        <w:pStyle w:val="ListParagraph"/>
        <w:numPr>
          <w:ilvl w:val="0"/>
          <w:numId w:val="2"/>
        </w:numPr>
        <w:spacing w:after="120"/>
      </w:pPr>
      <w:r>
        <w:rPr>
          <w:rFonts w:ascii="Arial" w:cs="Arial" w:eastAsia="Arial" w:hAnsi="Arial"/>
          <w:b/>
          <w:bCs/>
          <w:color w:val="1A1A1A"/>
          <w:sz w:val="22"/>
          <w:szCs w:val="22"/>
        </w:rPr>
        <w:t xml:space="preserve">Starlink Gen 2+ hardware typically achieves 25–60 ms RTT to U.S. pool servers—well within the tolerable range. Verify with a live latency test during the site survey before finalizing connectivity design.</w:t>
      </w:r>
      <w:r>
        <w:rPr>
          <w:rFonts w:ascii="Arial" w:cs="Arial" w:eastAsia="Arial" w:hAnsi="Arial"/>
          <w:color w:val="4A4A4A"/>
          <w:sz w:val="22"/>
          <w:szCs w:val="22"/>
        </w:rPr>
        <w:t xml:space="preserve">Latency profile: </w:t>
      </w:r>
    </w:p>
    <w:p>
      <w:pPr>
        <w:pStyle w:val="ListParagraph"/>
        <w:numPr>
          <w:ilvl w:val="0"/>
          <w:numId w:val="2"/>
        </w:numPr>
        <w:spacing w:after="120"/>
      </w:pPr>
      <w:r>
        <w:rPr>
          <w:rFonts w:ascii="Arial" w:cs="Arial" w:eastAsia="Arial" w:hAnsi="Arial"/>
          <w:b/>
          <w:bCs/>
          <w:color w:val="1A1A1A"/>
          <w:sz w:val="22"/>
          <w:szCs w:val="22"/>
        </w:rPr>
        <w:t xml:space="preserve">Starlink Business terminal draws approximately 75–150W. Account for this in the parasitic load calculation during genset sizing (Section 2).</w:t>
      </w:r>
      <w:r>
        <w:rPr>
          <w:rFonts w:ascii="Arial" w:cs="Arial" w:eastAsia="Arial" w:hAnsi="Arial"/>
          <w:color w:val="4A4A4A"/>
          <w:sz w:val="22"/>
          <w:szCs w:val="22"/>
        </w:rPr>
        <w:t xml:space="preserve">Power requirements: </w:t>
      </w:r>
    </w:p>
    <w:p>
      <w:pPr>
        <w:pStyle w:val="ListParagraph"/>
        <w:numPr>
          <w:ilvl w:val="0"/>
          <w:numId w:val="2"/>
        </w:numPr>
        <w:spacing w:after="120"/>
      </w:pPr>
      <w:r>
        <w:rPr>
          <w:rFonts w:ascii="Arial" w:cs="Arial" w:eastAsia="Arial" w:hAnsi="Arial"/>
          <w:b/>
          <w:bCs/>
          <w:color w:val="1A1A1A"/>
          <w:sz w:val="22"/>
          <w:szCs w:val="22"/>
        </w:rPr>
        <w:t xml:space="preserve">Mount the dish on a dedicated pole or tower at or above container roof height. Do not mount directly to container roof without vibration isolation—genset vibration can damage the dish alignment over time.</w:t>
      </w:r>
      <w:r>
        <w:rPr>
          <w:rFonts w:ascii="Arial" w:cs="Arial" w:eastAsia="Arial" w:hAnsi="Arial"/>
          <w:color w:val="4A4A4A"/>
          <w:sz w:val="22"/>
          <w:szCs w:val="22"/>
        </w:rPr>
        <w:t xml:space="preserve">Weatherproofing: </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4.3 Cellular as a Failover Layer</w:t>
      </w:r>
    </w:p>
    <w:p>
      <w:pPr>
        <w:spacing w:before="0" w:after="180"/>
        <w:jc w:val="left"/>
      </w:pPr>
      <w:r>
        <w:rPr>
          <w:rFonts w:ascii="Arial" w:cs="Arial" w:eastAsia="Arial" w:hAnsi="Arial"/>
          <w:b w:val="false"/>
          <w:bCs w:val="false"/>
          <w:color w:val="4A4A4A"/>
          <w:sz w:val="22"/>
          <w:szCs w:val="22"/>
        </w:rPr>
        <w:t xml:space="preserve">Where 4G LTE or 5G coverage exists at the pad (confirm with field signal testing, not carrier coverage maps), a cellular router provides a cost-effective failover layer. Configure the network with Starlink as primary and cellular as automatic failover. ASICs should be configured with a backup pool as well, so that even if primary connectivity fails mid-shift, mining continues on the secondary pool.</w:t>
      </w:r>
    </w:p>
    <w:p>
      <w:pPr>
        <w:spacing w:before="0" w:after="180"/>
        <w:jc w:val="left"/>
      </w:pPr>
      <w:r>
        <w:rPr>
          <w:rFonts w:ascii="Arial" w:cs="Arial" w:eastAsia="Arial" w:hAnsi="Arial"/>
          <w:b w:val="false"/>
          <w:bCs w:val="false"/>
          <w:color w:val="4A4A4A"/>
          <w:sz w:val="22"/>
          <w:szCs w:val="22"/>
        </w:rPr>
        <w:t xml:space="preserve">Do not rely on cellular as the primary connectivity solution. Coverage maps consistently overstate coverage in rural and oilfield environments. Always test with a live device at the wellhead coordinates during the site survey.</w:t>
      </w:r>
    </w:p>
    <w:p>
      <w:pPr>
        <w:pStyle w:val="Heading1"/>
        <w:pBdr>
          <w:bottom w:val="single" w:color="F97316" w:sz="3"/>
        </w:pBdr>
        <w:spacing w:before="440" w:after="160"/>
      </w:pPr>
      <w:r>
        <w:rPr>
          <w:rFonts w:ascii="Arial" w:cs="Arial" w:eastAsia="Arial" w:hAnsi="Arial"/>
          <w:b/>
          <w:bCs/>
          <w:color w:val="0A0A0A"/>
          <w:sz w:val="28"/>
          <w:szCs w:val="28"/>
        </w:rPr>
        <w:t xml:space="preserve">5. Service Access Design Standards</w:t>
      </w:r>
    </w:p>
    <w:p>
      <w:pPr>
        <w:spacing w:before="0" w:after="180"/>
        <w:jc w:val="left"/>
      </w:pPr>
      <w:r>
        <w:rPr>
          <w:rFonts w:ascii="Arial" w:cs="Arial" w:eastAsia="Arial" w:hAnsi="Arial"/>
          <w:b w:val="false"/>
          <w:bCs w:val="false"/>
          <w:color w:val="4A4A4A"/>
          <w:sz w:val="22"/>
          <w:szCs w:val="22"/>
        </w:rPr>
        <w:t xml:space="preserve">Remote deployments fail at higher rates than grid-connected sites—not always because of equipment failure, but because of delayed response when something goes wrong. Service access design is the engineering discipline that minimizes the impact of field failures by ensuring that when a technician does need to make a site visit, they can work efficiently and safely.</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5.1 Physical Site Layout Standards</w:t>
      </w:r>
    </w:p>
    <w:p>
      <w:pPr>
        <w:pStyle w:val="ListParagraph"/>
        <w:numPr>
          <w:ilvl w:val="0"/>
          <w:numId w:val="2"/>
        </w:numPr>
        <w:spacing w:after="120"/>
      </w:pPr>
      <w:r>
        <w:rPr>
          <w:rFonts w:ascii="Arial" w:cs="Arial" w:eastAsia="Arial" w:hAnsi="Arial"/>
          <w:b/>
          <w:bCs/>
          <w:color w:val="1A1A1A"/>
          <w:sz w:val="22"/>
          <w:szCs w:val="22"/>
        </w:rPr>
        <w:t xml:space="preserve">Position ASIC containers on a stable, level gravel pad or concrete slab. Minimum 18 inches of clearance on all sides for airflow and maintenance access. The exhaust (hot aisle) side of each container must be positioned away from the prevailing wind direction and away from the genset air intake.</w:t>
      </w:r>
      <w:r>
        <w:rPr>
          <w:rFonts w:ascii="Arial" w:cs="Arial" w:eastAsia="Arial" w:hAnsi="Arial"/>
          <w:color w:val="4A4A4A"/>
          <w:sz w:val="22"/>
          <w:szCs w:val="22"/>
        </w:rPr>
        <w:t xml:space="preserve">Container placement: </w:t>
      </w:r>
    </w:p>
    <w:p>
      <w:pPr>
        <w:pStyle w:val="ListParagraph"/>
        <w:numPr>
          <w:ilvl w:val="0"/>
          <w:numId w:val="2"/>
        </w:numPr>
        <w:spacing w:after="120"/>
      </w:pPr>
      <w:r>
        <w:rPr>
          <w:rFonts w:ascii="Arial" w:cs="Arial" w:eastAsia="Arial" w:hAnsi="Arial"/>
          <w:b/>
          <w:bCs/>
          <w:color w:val="1A1A1A"/>
          <w:sz w:val="22"/>
          <w:szCs w:val="22"/>
        </w:rPr>
        <w:t xml:space="preserve">The generator should be positioned upwind of the ASIC containers and at least 15 feet from any container exhaust opening. Hot exhaust recirculation is a primary cause of thermal throttling on field sites.</w:t>
      </w:r>
      <w:r>
        <w:rPr>
          <w:rFonts w:ascii="Arial" w:cs="Arial" w:eastAsia="Arial" w:hAnsi="Arial"/>
          <w:color w:val="4A4A4A"/>
          <w:sz w:val="22"/>
          <w:szCs w:val="22"/>
        </w:rPr>
        <w:t xml:space="preserve">Genset placement: </w:t>
      </w:r>
    </w:p>
    <w:p>
      <w:pPr>
        <w:pStyle w:val="ListParagraph"/>
        <w:numPr>
          <w:ilvl w:val="0"/>
          <w:numId w:val="2"/>
        </w:numPr>
        <w:spacing w:after="120"/>
      </w:pPr>
      <w:r>
        <w:rPr>
          <w:rFonts w:ascii="Arial" w:cs="Arial" w:eastAsia="Arial" w:hAnsi="Arial"/>
          <w:b/>
          <w:bCs/>
          <w:color w:val="1A1A1A"/>
          <w:sz w:val="22"/>
          <w:szCs w:val="22"/>
        </w:rPr>
        <w:t xml:space="preserve">Run power and data cables in conduit below grade or in armored cable trays. Exposed cables on an oilfield pad are a maintenance and safety liability. Use weatherproof connectors rated for the temperature range of the deployment location.</w:t>
      </w:r>
      <w:r>
        <w:rPr>
          <w:rFonts w:ascii="Arial" w:cs="Arial" w:eastAsia="Arial" w:hAnsi="Arial"/>
          <w:color w:val="4A4A4A"/>
          <w:sz w:val="22"/>
          <w:szCs w:val="22"/>
        </w:rPr>
        <w:t xml:space="preserve">Cable management: </w:t>
      </w:r>
    </w:p>
    <w:p>
      <w:pPr>
        <w:pStyle w:val="ListParagraph"/>
        <w:numPr>
          <w:ilvl w:val="0"/>
          <w:numId w:val="2"/>
        </w:numPr>
        <w:spacing w:after="120"/>
      </w:pPr>
      <w:r>
        <w:rPr>
          <w:rFonts w:ascii="Arial" w:cs="Arial" w:eastAsia="Arial" w:hAnsi="Arial"/>
          <w:b/>
          <w:bCs/>
          <w:color w:val="1A1A1A"/>
          <w:sz w:val="22"/>
          <w:szCs w:val="22"/>
        </w:rPr>
        <w:t xml:space="preserve">Each container must be accessible by standard service vehicle (truck + trailer). Confirm that the pad road and site layout allow a full-size work truck to reach every container door without repositioning other equipment.</w:t>
      </w:r>
      <w:r>
        <w:rPr>
          <w:rFonts w:ascii="Arial" w:cs="Arial" w:eastAsia="Arial" w:hAnsi="Arial"/>
          <w:color w:val="4A4A4A"/>
          <w:sz w:val="22"/>
          <w:szCs w:val="22"/>
        </w:rPr>
        <w:t xml:space="preserve">Container accessibility: </w:t>
      </w:r>
    </w:p>
    <w:p>
      <w:pPr>
        <w:pStyle w:val="ListParagraph"/>
        <w:numPr>
          <w:ilvl w:val="0"/>
          <w:numId w:val="2"/>
        </w:numPr>
        <w:spacing w:after="120"/>
      </w:pPr>
      <w:r>
        <w:rPr>
          <w:rFonts w:ascii="Arial" w:cs="Arial" w:eastAsia="Arial" w:hAnsi="Arial"/>
          <w:b/>
          <w:bCs/>
          <w:color w:val="1A1A1A"/>
          <w:sz w:val="22"/>
          <w:szCs w:val="22"/>
        </w:rPr>
        <w:t xml:space="preserve">The entire installation should be within a security fence with access control. Camera coverage on all container access points is standard. Remote camera access should be configured as part of the monitoring stack.</w:t>
      </w:r>
      <w:r>
        <w:rPr>
          <w:rFonts w:ascii="Arial" w:cs="Arial" w:eastAsia="Arial" w:hAnsi="Arial"/>
          <w:color w:val="4A4A4A"/>
          <w:sz w:val="22"/>
          <w:szCs w:val="22"/>
        </w:rPr>
        <w:t xml:space="preserve">Security enclosure: </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5.2 Spare Parts and Depot Standards</w:t>
      </w:r>
    </w:p>
    <w:p>
      <w:pPr>
        <w:spacing w:before="0" w:after="180"/>
        <w:jc w:val="left"/>
      </w:pPr>
      <w:r>
        <w:rPr>
          <w:rFonts w:ascii="Arial" w:cs="Arial" w:eastAsia="Arial" w:hAnsi="Arial"/>
          <w:b w:val="false"/>
          <w:bCs w:val="false"/>
          <w:color w:val="4A4A4A"/>
          <w:sz w:val="22"/>
          <w:szCs w:val="22"/>
        </w:rPr>
        <w:t xml:space="preserve">The difference between a 2-hour repair and a 72-hour outage on a remote site is usually whether the right part was on the service truck. Maintain the following minimum on-site or regional-depot inventory for every active deployment: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1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Quantity</w:t>
            </w:r>
          </w:p>
        </w:tc>
        <w:tc>
          <w:tcPr>
            <w:tcW w:type="dxa" w:w="436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hash boards (matching deployed model)</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of fleet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Failure rate on field sites is typically 3–8% of fleet per year. Keep spares at regional depot.</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control boards</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3–5 units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Control board failures cause complete unit outage. Match to deployed models.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PSUs (power supply units)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of fleet</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PSU failures are more common in dusty environments due to fan filter clogging.</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Container cooling unit (fan or AC)</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spare unit</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Cooling failure in summer can take down an entire container in under 2 hours.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Ethernet cables and patch panel components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20+ cables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Rodent damage and vibration failure are common on oilfield sites.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Starlink dish and mounting hardware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spare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Dish damage from hail, wildlife, or mechanical contact is the most common connectivity failure mode.</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Generator oil, coolant, air filters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Consumable supply: 90 days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Coordinate with Cat or equivalent dealer for regional parts stocking.</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Personal safety equipment (PPE)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Full kit on-site</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H₂S monitor, FR clothing, fire extinguisher, first aid kit. Non-negotiable for oilfield sites.</w:t>
            </w:r>
          </w:p>
        </w:tc>
      </w:tr>
    </w:tbl>
    <w:p>
      <w:pPr>
        <w:spacing w:before="0" w:after="120"/>
      </w:pPr>
      <w:r>
        <w:t xml:space="preserve"/>
      </w:r>
    </w:p>
    <w:p>
      <w:pPr>
        <w:pStyle w:val="Heading2"/>
        <w:spacing w:before="300" w:after="120"/>
      </w:pPr>
      <w:r>
        <w:rPr>
          <w:rFonts w:ascii="Arial" w:cs="Arial" w:eastAsia="Arial" w:hAnsi="Arial"/>
          <w:b/>
          <w:bCs/>
          <w:color w:val="1A1A1A"/>
          <w:sz w:val="24"/>
          <w:szCs w:val="24"/>
        </w:rPr>
        <w:t xml:space="preserve">5.3 Remote Management Stack</w:t>
      </w:r>
    </w:p>
    <w:p>
      <w:pPr>
        <w:spacing w:before="0" w:after="180"/>
        <w:jc w:val="left"/>
      </w:pPr>
      <w:r>
        <w:rPr>
          <w:rFonts w:ascii="Arial" w:cs="Arial" w:eastAsia="Arial" w:hAnsi="Arial"/>
          <w:b w:val="false"/>
          <w:bCs w:val="false"/>
          <w:color w:val="4A4A4A"/>
          <w:sz w:val="22"/>
          <w:szCs w:val="22"/>
        </w:rPr>
        <w:t xml:space="preserve">Minimize the need for site visits by maximizing remote management capability. Every deployment should have the following monitoring and control layers operational before ASICs begin mining:</w:t>
      </w:r>
    </w:p>
    <w:p>
      <w:pPr>
        <w:pStyle w:val="ListParagraph"/>
        <w:numPr>
          <w:ilvl w:val="0"/>
          <w:numId w:val="2"/>
        </w:numPr>
        <w:spacing w:after="120"/>
      </w:pPr>
      <w:r>
        <w:rPr>
          <w:rFonts w:ascii="Arial" w:cs="Arial" w:eastAsia="Arial" w:hAnsi="Arial"/>
          <w:b/>
          <w:bCs/>
          <w:color w:val="1A1A1A"/>
          <w:sz w:val="22"/>
          <w:szCs w:val="22"/>
        </w:rPr>
        <w:t xml:space="preserve">Real-time hashrate, share submission rate, and per-unit status visible via pool dashboard (Braiins, Luxor, or equivalent). Configure alerts for hash rate drops above 5% from baseline.</w:t>
      </w:r>
      <w:r>
        <w:rPr>
          <w:rFonts w:ascii="Arial" w:cs="Arial" w:eastAsia="Arial" w:hAnsi="Arial"/>
          <w:color w:val="4A4A4A"/>
          <w:sz w:val="22"/>
          <w:szCs w:val="22"/>
        </w:rPr>
        <w:t xml:space="preserve">ASIC pool monitoring: </w:t>
      </w:r>
    </w:p>
    <w:p>
      <w:pPr>
        <w:pStyle w:val="ListParagraph"/>
        <w:numPr>
          <w:ilvl w:val="0"/>
          <w:numId w:val="2"/>
        </w:numPr>
        <w:spacing w:after="120"/>
      </w:pPr>
      <w:r>
        <w:rPr>
          <w:rFonts w:ascii="Arial" w:cs="Arial" w:eastAsia="Arial" w:hAnsi="Arial"/>
          <w:b/>
          <w:bCs/>
          <w:color w:val="1A1A1A"/>
          <w:sz w:val="22"/>
          <w:szCs w:val="22"/>
        </w:rPr>
        <w:t xml:space="preserve">Engine parameters (oil pressure, coolant temp, load %, fuel consumption) transmitted via cellular or satellite to a monitoring dashboard. Cat Connect or equivalent provides this capability for Cat gensets.</w:t>
      </w:r>
      <w:r>
        <w:rPr>
          <w:rFonts w:ascii="Arial" w:cs="Arial" w:eastAsia="Arial" w:hAnsi="Arial"/>
          <w:color w:val="4A4A4A"/>
          <w:sz w:val="22"/>
          <w:szCs w:val="22"/>
        </w:rPr>
        <w:t xml:space="preserve">Generator telemetry: </w:t>
      </w:r>
    </w:p>
    <w:p>
      <w:pPr>
        <w:pStyle w:val="ListParagraph"/>
        <w:numPr>
          <w:ilvl w:val="0"/>
          <w:numId w:val="2"/>
        </w:numPr>
        <w:spacing w:after="120"/>
      </w:pPr>
      <w:r>
        <w:rPr>
          <w:rFonts w:ascii="Arial" w:cs="Arial" w:eastAsia="Arial" w:hAnsi="Arial"/>
          <w:b/>
          <w:bCs/>
          <w:color w:val="1A1A1A"/>
          <w:sz w:val="22"/>
          <w:szCs w:val="22"/>
        </w:rPr>
        <w:t xml:space="preserve">Temperature and humidity sensors at intake and exhaust of each container. Alert thresholds: intake &gt; 38°C triggers investigation; intake &gt; 45°C triggers emergency remote shutdown of non-critical ASICs.</w:t>
      </w:r>
      <w:r>
        <w:rPr>
          <w:rFonts w:ascii="Arial" w:cs="Arial" w:eastAsia="Arial" w:hAnsi="Arial"/>
          <w:color w:val="4A4A4A"/>
          <w:sz w:val="22"/>
          <w:szCs w:val="22"/>
        </w:rPr>
        <w:t xml:space="preserve">Container environmental monitoring: </w:t>
      </w:r>
    </w:p>
    <w:p>
      <w:pPr>
        <w:pStyle w:val="ListParagraph"/>
        <w:numPr>
          <w:ilvl w:val="0"/>
          <w:numId w:val="2"/>
        </w:numPr>
        <w:spacing w:after="120"/>
      </w:pPr>
      <w:r>
        <w:rPr>
          <w:rFonts w:ascii="Arial" w:cs="Arial" w:eastAsia="Arial" w:hAnsi="Arial"/>
          <w:b/>
          <w:bCs/>
          <w:color w:val="1A1A1A"/>
          <w:sz w:val="22"/>
          <w:szCs w:val="22"/>
        </w:rPr>
        <w:t xml:space="preserve">Use smart PDUs with per-outlet monitoring and remote power control. Ability to power-cycle individual ASICs or rows without a site visit resolves the majority of ASIC fault conditions.</w:t>
      </w:r>
      <w:r>
        <w:rPr>
          <w:rFonts w:ascii="Arial" w:cs="Arial" w:eastAsia="Arial" w:hAnsi="Arial"/>
          <w:color w:val="4A4A4A"/>
          <w:sz w:val="22"/>
          <w:szCs w:val="22"/>
        </w:rPr>
        <w:t xml:space="preserve">IP power distribution: </w:t>
      </w:r>
    </w:p>
    <w:p>
      <w:pPr>
        <w:pStyle w:val="ListParagraph"/>
        <w:numPr>
          <w:ilvl w:val="0"/>
          <w:numId w:val="2"/>
        </w:numPr>
        <w:spacing w:after="120"/>
      </w:pPr>
      <w:r>
        <w:rPr>
          <w:rFonts w:ascii="Arial" w:cs="Arial" w:eastAsia="Arial" w:hAnsi="Arial"/>
          <w:b/>
          <w:bCs/>
          <w:color w:val="1A1A1A"/>
          <w:sz w:val="22"/>
          <w:szCs w:val="22"/>
        </w:rPr>
        <w:t xml:space="preserve">Minimum 4 cameras per site, recording continuously with 30-day retention. Remote access for real-time and recorded review. Alert on motion outside business hours.</w:t>
      </w:r>
      <w:r>
        <w:rPr>
          <w:rFonts w:ascii="Arial" w:cs="Arial" w:eastAsia="Arial" w:hAnsi="Arial"/>
          <w:color w:val="4A4A4A"/>
          <w:sz w:val="22"/>
          <w:szCs w:val="22"/>
        </w:rPr>
        <w:t xml:space="preserve">Security cameras with remote access: </w:t>
      </w:r>
    </w:p>
    <w:p>
      <w:pPr>
        <w:pStyle w:val="Heading1"/>
        <w:pBdr>
          <w:bottom w:val="single" w:color="F97316" w:sz="3"/>
        </w:pBdr>
        <w:spacing w:before="440" w:after="160"/>
      </w:pPr>
      <w:r>
        <w:rPr>
          <w:rFonts w:ascii="Arial" w:cs="Arial" w:eastAsia="Arial" w:hAnsi="Arial"/>
          <w:b/>
          <w:bCs/>
          <w:color w:val="0A0A0A"/>
          <w:sz w:val="28"/>
          <w:szCs w:val="28"/>
        </w:rPr>
        <w:t xml:space="preserve">6. Pre-Deployment Site Inspection Protocol</w:t>
      </w:r>
    </w:p>
    <w:p>
      <w:pPr>
        <w:spacing w:before="0" w:after="180"/>
        <w:jc w:val="left"/>
      </w:pPr>
      <w:r>
        <w:rPr>
          <w:rFonts w:ascii="Arial" w:cs="Arial" w:eastAsia="Arial" w:hAnsi="Arial"/>
          <w:b w:val="false"/>
          <w:bCs w:val="false"/>
          <w:color w:val="4A4A4A"/>
          <w:sz w:val="22"/>
          <w:szCs w:val="22"/>
        </w:rPr>
        <w:t xml:space="preserve">The pre-deployment site inspection is a structured, on-site evaluation conducted by a qualified field engineer before any equipment is ordered or deployment agreement is executed. Its purpose is to confirm or disqualify every assumption made during the initial desk-based evaluation.</w:t>
      </w:r>
    </w:p>
    <w:p>
      <w:pPr>
        <w:spacing w:before="0" w:after="180"/>
        <w:jc w:val="left"/>
      </w:pPr>
      <w:r>
        <w:rPr>
          <w:rFonts w:ascii="Arial" w:cs="Arial" w:eastAsia="Arial" w:hAnsi="Arial"/>
          <w:b w:val="false"/>
          <w:bCs w:val="false"/>
          <w:color w:val="4A4A4A"/>
          <w:sz w:val="22"/>
          <w:szCs w:val="22"/>
        </w:rPr>
        <w:t xml:space="preserve">The inspection is typically a half-day to full-day visit and requires access to the wellhead, the proposed container pad area, and the gas tie-in point. Coordinate with the operator and confirm any required safety inductions, PPE requirements, and H₂S gas monitor requirements before arriving.</w:t>
      </w:r>
    </w:p>
    <w:p>
      <w:pPr>
        <w:spacing w:before="0" w:after="80"/>
      </w:pPr>
      <w:r>
        <w:t xml:space="preserve"/>
      </w:r>
    </w:p>
    <w:p>
      <w:pPr>
        <w:pStyle w:val="Heading2"/>
        <w:spacing w:before="300" w:after="120"/>
      </w:pPr>
      <w:r>
        <w:rPr>
          <w:rFonts w:ascii="Arial" w:cs="Arial" w:eastAsia="Arial" w:hAnsi="Arial"/>
          <w:b/>
          <w:bCs/>
          <w:color w:val="1A1A1A"/>
          <w:sz w:val="24"/>
          <w:szCs w:val="24"/>
        </w:rPr>
        <w:t xml:space="preserve">6.1 Equipment to Bring</w:t>
      </w:r>
    </w:p>
    <w:p>
      <w:pPr>
        <w:pStyle w:val="ListParagraph"/>
        <w:numPr>
          <w:ilvl w:val="0"/>
          <w:numId w:val="2"/>
        </w:numPr>
        <w:spacing w:after="120"/>
      </w:pPr>
      <w:r>
        <w:rPr>
          <w:rFonts w:ascii="Arial" w:cs="Arial" w:eastAsia="Arial" w:hAnsi="Arial"/>
          <w:color w:val="4A4A4A"/>
          <w:sz w:val="22"/>
          <w:szCs w:val="22"/>
        </w:rPr>
        <w:t xml:space="preserve">Portable GC or combustion analyzer for real-time gas compositional analysis</w:t>
      </w:r>
    </w:p>
    <w:p>
      <w:pPr>
        <w:pStyle w:val="ListParagraph"/>
        <w:numPr>
          <w:ilvl w:val="0"/>
          <w:numId w:val="2"/>
        </w:numPr>
        <w:spacing w:after="120"/>
      </w:pPr>
      <w:r>
        <w:rPr>
          <w:rFonts w:ascii="Arial" w:cs="Arial" w:eastAsia="Arial" w:hAnsi="Arial"/>
          <w:color w:val="4A4A4A"/>
          <w:sz w:val="22"/>
          <w:szCs w:val="22"/>
        </w:rPr>
        <w:t xml:space="preserve">Pressure gauge calibrated for 0–300 psig range</w:t>
      </w:r>
    </w:p>
    <w:p>
      <w:pPr>
        <w:pStyle w:val="ListParagraph"/>
        <w:numPr>
          <w:ilvl w:val="0"/>
          <w:numId w:val="2"/>
        </w:numPr>
        <w:spacing w:after="120"/>
      </w:pPr>
      <w:r>
        <w:rPr>
          <w:rFonts w:ascii="Arial" w:cs="Arial" w:eastAsia="Arial" w:hAnsi="Arial"/>
          <w:color w:val="4A4A4A"/>
          <w:sz w:val="22"/>
          <w:szCs w:val="22"/>
        </w:rPr>
        <w:t xml:space="preserve">Laser rangefinder for measuring pad dimensions and clearances</w:t>
      </w:r>
    </w:p>
    <w:p>
      <w:pPr>
        <w:pStyle w:val="ListParagraph"/>
        <w:numPr>
          <w:ilvl w:val="0"/>
          <w:numId w:val="2"/>
        </w:numPr>
        <w:spacing w:after="120"/>
      </w:pPr>
      <w:r>
        <w:rPr>
          <w:rFonts w:ascii="Arial" w:cs="Arial" w:eastAsia="Arial" w:hAnsi="Arial"/>
          <w:color w:val="4A4A4A"/>
          <w:sz w:val="22"/>
          <w:szCs w:val="22"/>
        </w:rPr>
        <w:t xml:space="preserve">Digital anemometer to confirm airflow patterns and prevailing wind direction</w:t>
      </w:r>
    </w:p>
    <w:p>
      <w:pPr>
        <w:pStyle w:val="ListParagraph"/>
        <w:numPr>
          <w:ilvl w:val="0"/>
          <w:numId w:val="2"/>
        </w:numPr>
        <w:spacing w:after="120"/>
      </w:pPr>
      <w:r>
        <w:rPr>
          <w:rFonts w:ascii="Arial" w:cs="Arial" w:eastAsia="Arial" w:hAnsi="Arial"/>
          <w:color w:val="4A4A4A"/>
          <w:sz w:val="22"/>
          <w:szCs w:val="22"/>
        </w:rPr>
        <w:t xml:space="preserve">GPS unit for recording exact coordinates of proposed equipment locations</w:t>
      </w:r>
    </w:p>
    <w:p>
      <w:pPr>
        <w:pStyle w:val="ListParagraph"/>
        <w:numPr>
          <w:ilvl w:val="0"/>
          <w:numId w:val="2"/>
        </w:numPr>
        <w:spacing w:after="120"/>
      </w:pPr>
      <w:r>
        <w:rPr>
          <w:rFonts w:ascii="Arial" w:cs="Arial" w:eastAsia="Arial" w:hAnsi="Arial"/>
          <w:color w:val="4A4A4A"/>
          <w:sz w:val="22"/>
          <w:szCs w:val="22"/>
        </w:rPr>
        <w:t xml:space="preserve">Starlink obstruction check app (on smartphone) for LOS evaluation</w:t>
      </w:r>
    </w:p>
    <w:p>
      <w:pPr>
        <w:pStyle w:val="ListParagraph"/>
        <w:numPr>
          <w:ilvl w:val="0"/>
          <w:numId w:val="2"/>
        </w:numPr>
        <w:spacing w:after="120"/>
      </w:pPr>
      <w:r>
        <w:rPr>
          <w:rFonts w:ascii="Arial" w:cs="Arial" w:eastAsia="Arial" w:hAnsi="Arial"/>
          <w:color w:val="4A4A4A"/>
          <w:sz w:val="22"/>
          <w:szCs w:val="22"/>
        </w:rPr>
        <w:t xml:space="preserve">Cellular signal meter (multi-band) for failover connectivity assessment</w:t>
      </w:r>
    </w:p>
    <w:p>
      <w:pPr>
        <w:pStyle w:val="ListParagraph"/>
        <w:numPr>
          <w:ilvl w:val="0"/>
          <w:numId w:val="2"/>
        </w:numPr>
        <w:spacing w:after="120"/>
      </w:pPr>
      <w:r>
        <w:rPr>
          <w:rFonts w:ascii="Arial" w:cs="Arial" w:eastAsia="Arial" w:hAnsi="Arial"/>
          <w:color w:val="4A4A4A"/>
          <w:sz w:val="22"/>
          <w:szCs w:val="22"/>
        </w:rPr>
        <w:t xml:space="preserve">Drone with camera for pad overview and access road assessment (if permitted on the lease)</w:t>
      </w:r>
    </w:p>
    <w:p>
      <w:pPr>
        <w:pStyle w:val="ListParagraph"/>
        <w:numPr>
          <w:ilvl w:val="0"/>
          <w:numId w:val="2"/>
        </w:numPr>
        <w:spacing w:after="120"/>
      </w:pPr>
      <w:r>
        <w:rPr>
          <w:rFonts w:ascii="Arial" w:cs="Arial" w:eastAsia="Arial" w:hAnsi="Arial"/>
          <w:color w:val="4A4A4A"/>
          <w:sz w:val="22"/>
          <w:szCs w:val="22"/>
        </w:rPr>
        <w:t xml:space="preserve">Full oilfield PPE: hard hat, steel-toed boots, FR clothing, H₂S personal monitor, safety glasses</w:t>
      </w:r>
    </w:p>
    <w:p>
      <w:pPr>
        <w:spacing w:before="0" w:after="120"/>
      </w:pPr>
      <w:r>
        <w:t xml:space="preserve"/>
      </w:r>
    </w:p>
    <w:p>
      <w:pPr>
        <w:pStyle w:val="Heading2"/>
        <w:spacing w:before="300" w:after="120"/>
      </w:pPr>
      <w:r>
        <w:rPr>
          <w:rFonts w:ascii="Arial" w:cs="Arial" w:eastAsia="Arial" w:hAnsi="Arial"/>
          <w:b/>
          <w:bCs/>
          <w:color w:val="1A1A1A"/>
          <w:sz w:val="24"/>
          <w:szCs w:val="24"/>
        </w:rPr>
        <w:t xml:space="preserve">6.2 Inspection Checklist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Inspection Item</w:t>
            </w:r>
          </w:p>
        </w:tc>
        <w:tc>
          <w:tcPr>
            <w:tcW w:type="dxa" w:w="22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Result / Measurement</w:t>
            </w:r>
          </w:p>
        </w:tc>
        <w:tc>
          <w:tcPr>
            <w:tcW w:type="dxa" w:w="22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Pass / Caution / Fail</w:t>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GAS QUALITY &amp; SUPPLY</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composition GC analysis completed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MN: ___  C1: ___% HHV: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H₂S confirmed below 500 ppm (or treatment plan in place)</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H₂S: ___ ppm</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Wellhead pressure measured at tie-in point</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 psig</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30-day production history obtained and reviewed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Avg: ___ Mcf/d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decline rate confirmed and modeled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Monthly decline: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Liquid carryover evaluated at wellhead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Liquids present: Y/N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SITE &amp; PHYSICAL ACCESS</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Pad dimensions measured; container area confirmed adequate</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 ft × ___ ft available</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Ground condition evaluated (stable/gravel/concrete)</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Condition: ___</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Site elevation recorded (ASL)</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 ft ASL</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Access road assessed for year-round vehicle access</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Seasonal restriction: Y/N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Nearest town with equipment/parts supply identified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 miles: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Operator security and site access process confirmed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Access contact: ___</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CONNECTIVITY</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Starlink LOS check completed at proposed dish location</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Obstruction: Y/N</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Live Starlink speed and latency test conducted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DL: ___  UL: ___  RTT: ___</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Cellular signal strength measured at pad (carrier: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Signal: ___  Band: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Dual-link failover viable based on signal assessment</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Viable: Y/N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REGULATORY &amp; LEGAL</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Active flaring permit / exception copy obtained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Permit #: ___</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Midstream contract carve-out clause reviewed by counsel</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Clearance: Y/N/Pending</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State air permit requirement for genset confirmed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Permit required: Y/N</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Lease rights to on-lease gas consumption confirmed</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Confirmed: Y/N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bCs/>
                <w:color w:val="F97316"/>
                <w:sz w:val="20"/>
                <w:szCs w:val="20"/>
              </w:rPr>
              <w:t xml:space="preserve">THERMAL &amp; ENVIRONMENTAL</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Peak summer ambient temperature recorded or sourced</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Peak: ___°F</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Prevailing wind direction noted for container orientation</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Direction: ___</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Winter temperature extremes confirmed (cold-start design)</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Min: ___°F</w:t>
            </w:r>
          </w:p>
        </w:tc>
        <w:tc>
          <w:tcPr>
            <w:tcW w:type="dxa" w:w="2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r>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Local humidity profile assessed (evap vs. mechanical cooling)</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Avg RH: ___%</w:t>
            </w:r>
          </w:p>
        </w:tc>
        <w:tc>
          <w:tcPr>
            <w:tcW w:type="dxa" w:w="2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9360"/>
      </w:tblGrid>
      <w:tr>
        <w:tc>
          <w:tcPr>
            <w:tcW w:type="dxa" w:w="9360"/>
            <w:tcBorders>
              <w:top w:val="thick" w:color="F97316" w:sz="8"/>
              <w:left w:val="thick" w:color="F97316" w:sz="8"/>
              <w:bottom w:val="single" w:color="E0E0E0" w:sz="1"/>
              <w:right w:val="single" w:color="E0E0E0" w:sz="1"/>
            </w:tcBorders>
            <w:shd w:fill="FFF7ED" w:val="clear"/>
            <w:tcMar>
              <w:top w:type="dxa" w:w="120"/>
              <w:left w:type="dxa" w:w="200"/>
              <w:bottom w:type="dxa" w:w="120"/>
              <w:right w:type="dxa" w:w="200"/>
            </w:tcMar>
          </w:tcPr>
          <w:p>
            <w:pPr>
              <w:spacing w:after="60"/>
            </w:pPr>
            <w:r>
              <w:rPr>
                <w:rFonts w:ascii="Arial" w:cs="Arial" w:eastAsia="Arial" w:hAnsi="Arial"/>
                <w:b/>
                <w:bCs/>
                <w:color w:val="F97316"/>
                <w:sz w:val="20"/>
                <w:szCs w:val="20"/>
              </w:rPr>
              <w:t xml:space="preserve">Inspection Sign-Off Standard</w:t>
            </w:r>
          </w:p>
          <w:p>
            <w:pPr>
              <w:spacing w:after="0"/>
            </w:pPr>
            <w:r>
              <w:rPr>
                <w:rFonts w:ascii="Arial" w:cs="Arial" w:eastAsia="Arial" w:hAnsi="Arial"/>
                <w:color w:val="1A1A1A"/>
                <w:sz w:val="21"/>
                <w:szCs w:val="21"/>
              </w:rPr>
              <w:t xml:space="preserve">A pre-deployment inspection is only complete when all items in the checklist have a recorded result and every ‘Fail’ item has either been resolved or documented as a known risk with a mitigation plan. Do not proceed to equipment procurement with open ‘Fail’ items. Do not accept a verbal resolution—every open item requires a documented response from the operator or a third-party confirmation.</w:t>
            </w:r>
          </w:p>
        </w:tc>
      </w:tr>
    </w:tbl>
    <w:p>
      <w:pPr>
        <w:spacing w:before="0" w:after="120"/>
      </w:pPr>
      <w:r>
        <w:t xml:space="preserve"/>
      </w:r>
    </w:p>
    <w:p>
      <w:pPr>
        <w:pStyle w:val="Heading1"/>
        <w:pBdr>
          <w:bottom w:val="single" w:color="F97316" w:sz="3"/>
        </w:pBdr>
        <w:spacing w:before="440" w:after="160"/>
      </w:pPr>
      <w:r>
        <w:rPr>
          <w:rFonts w:ascii="Arial" w:cs="Arial" w:eastAsia="Arial" w:hAnsi="Arial"/>
          <w:b/>
          <w:bCs/>
          <w:color w:val="0A0A0A"/>
          <w:sz w:val="28"/>
          <w:szCs w:val="28"/>
        </w:rPr>
        <w:t xml:space="preserve">7. Field Performance Benchmarks</w:t>
      </w:r>
    </w:p>
    <w:p>
      <w:pPr>
        <w:spacing w:before="0" w:after="180"/>
        <w:jc w:val="left"/>
      </w:pPr>
      <w:r>
        <w:rPr>
          <w:rFonts w:ascii="Arial" w:cs="Arial" w:eastAsia="Arial" w:hAnsi="Arial"/>
          <w:b w:val="false"/>
          <w:bCs w:val="false"/>
          <w:color w:val="4A4A4A"/>
          <w:sz w:val="22"/>
          <w:szCs w:val="22"/>
        </w:rPr>
        <w:t xml:space="preserve">Use the following benchmarks to evaluate whether a deployed site is performing within expected parameters. These figures are based on MCF.digital’s operational data across multiple field deployments. Sites that fall significantly below these benchmarks should be investigated for gas quality degradation, thermal management issues, or connectivity problems before adjusting equipment.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20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 (Field)</w:t>
            </w:r>
          </w:p>
        </w:tc>
        <w:tc>
          <w:tcPr>
            <w:tcW w:type="dxa" w:w="208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Investigate If Below</w:t>
            </w:r>
          </w:p>
        </w:tc>
        <w:tc>
          <w:tcPr>
            <w:tcW w:type="dxa" w:w="2000"/>
            <w:tcBorders>
              <w:top w:val="single" w:color="E0E0E0" w:sz="1"/>
              <w:left w:val="single" w:color="E0E0E0" w:sz="1"/>
              <w:bottom w:val="single" w:color="E0E0E0" w:sz="1"/>
              <w:right w:val="single" w:color="E0E0E0" w:sz="1"/>
            </w:tcBorders>
            <w:shd w:fill="1A1A1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Common Causes of Shortfall</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ASIC fleet uptime</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90–95%</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&lt; 88%</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Overheating, firmware issues, PSU failures, connectivity loss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Genset availability</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95–98%</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&lt; 93%</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Gas supply interruption, maintenance overdue, fuel system issues</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Connectivity uptime</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99.0%+</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&lt; 98%</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Dish misalignment (wind/vibration), hardware failure, service outage</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Stale share rate</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&lt; 1.5%</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&gt; 3.0%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High latency to pool, latency spikes, pool software configuration</w:t>
            </w:r>
          </w:p>
        </w:tc>
      </w:tr>
      <w:tr>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Effective hashrate vs. rated</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&gt; 97% of rated</w:t>
            </w:r>
          </w:p>
        </w:tc>
        <w:tc>
          <w:tcPr>
            <w:tcW w:type="dxa" w:w="20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&lt; 94% of rated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Thermal throttling, ASIC aging, undervolting, dirty gas</w:t>
            </w:r>
          </w:p>
        </w:tc>
      </w:tr>
      <w:tr>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Hash board failure rate (annual)</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6A34A"/>
                <w:sz w:val="20"/>
                <w:szCs w:val="20"/>
              </w:rPr>
              <w:t xml:space="preserve">3–5% of fleet</w:t>
            </w:r>
          </w:p>
        </w:tc>
        <w:tc>
          <w:tcPr>
            <w:tcW w:type="dxa" w:w="20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&gt; 8% of fleet</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Excessive heat cycling, dust accumulation, voltage instability</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thick" w:color="F97316" w:sz="12"/>
              <w:left w:val="single" w:color="E0E0E0" w:sz="1"/>
              <w:bottom w:val="thick" w:color="F97316" w:sz="12"/>
              <w:right w:val="single" w:color="E0E0E0" w:sz="1"/>
            </w:tcBorders>
            <w:shd w:fill="1A1A1A" w:val="clear"/>
            <w:tcMar>
              <w:top w:type="dxa" w:w="280"/>
              <w:left w:type="dxa" w:w="360"/>
              <w:bottom w:type="dxa" w:w="280"/>
              <w:right w:type="dxa" w:w="360"/>
            </w:tcMar>
          </w:tcPr>
          <w:p>
            <w:pPr>
              <w:spacing w:after="120"/>
              <w:jc w:val="center"/>
            </w:pPr>
            <w:r>
              <w:rPr>
                <w:rFonts w:ascii="Arial" w:cs="Arial" w:eastAsia="Arial" w:hAnsi="Arial"/>
                <w:b/>
                <w:bCs/>
                <w:color w:val="FFFFFF"/>
                <w:sz w:val="32"/>
                <w:szCs w:val="32"/>
              </w:rPr>
              <w:t xml:space="preserve">Ready to evaluate a stranded gas pad?</w:t>
            </w:r>
          </w:p>
          <w:p>
            <w:pPr>
              <w:spacing w:after="200"/>
              <w:jc w:val="center"/>
            </w:pPr>
            <w:r>
              <w:rPr>
                <w:rFonts w:ascii="Arial" w:cs="Arial" w:eastAsia="Arial" w:hAnsi="Arial"/>
                <w:color w:val="D4D4D4"/>
                <w:sz w:val="22"/>
                <w:szCs w:val="22"/>
              </w:rPr>
              <w:t xml:space="preserve">Use the MCF.digital site evaluation tool to model gas volumes, genset sizing, and ASIC deployment economics before you commit.</w:t>
            </w:r>
          </w:p>
          <w:p>
            <w:pPr>
              <w:spacing w:after="120"/>
              <w:jc w:val="center"/>
            </w:pPr>
            <w:r>
              <w:rPr>
                <w:rFonts w:ascii="Arial" w:cs="Arial" w:eastAsia="Arial" w:hAnsi="Arial"/>
                <w:b/>
                <w:bCs/>
                <w:color w:val="F97316"/>
                <w:sz w:val="28"/>
                <w:szCs w:val="28"/>
              </w:rPr>
              <w:t xml:space="preserve">tools.mcf.digital</w:t>
            </w:r>
          </w:p>
          <w:p>
            <w:pPr>
              <w:spacing w:after="0"/>
              <w:jc w:val="center"/>
            </w:pPr>
            <w:r>
              <w:rPr>
                <w:rFonts w:ascii="Arial" w:cs="Arial" w:eastAsia="Arial" w:hAnsi="Arial"/>
                <w:color w:val="D4D4D4"/>
                <w:sz w:val="22"/>
                <w:szCs w:val="22"/>
              </w:rPr>
              <w:t xml:space="preserve">Or book a 15-minute technical fit call with an MCF.digital field engineer.</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3"/>
      </w:pBdr>
      <w:spacing w:before="120" w:after="0"/>
    </w:pPr>
    <w:r>
      <w:rPr>
        <w:rFonts w:ascii="Arial" w:cs="Arial" w:eastAsia="Arial" w:hAnsi="Arial"/>
        <w:color w:val="4A4A4A"/>
        <w:sz w:val="18"/>
        <w:szCs w:val="18"/>
      </w:rPr>
      <w:t xml:space="preserve">© 2026 MCF.DIGITAL  ·  mcf.digital  ·  For miners and field engineers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pBdr>
      <w:spacing w:after="120"/>
    </w:pPr>
    <w:r>
      <w:rPr>
        <w:rFonts w:ascii="Arial" w:cs="Arial" w:eastAsia="Arial" w:hAnsi="Arial"/>
        <w:b/>
        <w:bCs/>
        <w:color w:val="F97316"/>
        <w:sz w:val="18"/>
        <w:szCs w:val="18"/>
      </w:rPr>
      <w:t xml:space="preserve">MCF.DIGITAL</w:t>
    </w:r>
    <w:r>
      <w:rPr>
        <w:rFonts w:ascii="Arial" w:cs="Arial" w:eastAsia="Arial" w:hAnsi="Arial"/>
        <w:color w:val="4A4A4A"/>
        <w:sz w:val="18"/>
        <w:szCs w:val="18"/>
      </w:rPr>
      <w:t xml:space="preserve">   |   BTU → BTC Quick-Start: Field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A0A0A"/>
      <w:sz w:val="28"/>
      <w:szCs w:val="28"/>
    </w:rPr>
  </w:style>
  <w:style w:type="paragraph" w:styleId="Heading2">
    <w:name w:val="Heading 2"/>
    <w:basedOn w:val="Normal"/>
    <w:next w:val="Normal"/>
    <w:qFormat/>
    <w:pPr>
      <w:spacing w:before="30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2026-02-27T14:02:55.395Z</dcterms:created>
  <dcterms:modified xsi:type="dcterms:W3CDTF">2026-02-27T14:02:55.396Z</dcterms:modified>
</cp:coreProperties>
</file>

<file path=docProps/custom.xml><?xml version="1.0" encoding="utf-8"?>
<Properties xmlns="http://schemas.openxmlformats.org/officeDocument/2006/custom-properties" xmlns:vt="http://schemas.openxmlformats.org/officeDocument/2006/docPropsVTypes"/>
</file>