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p>
      <w:pPr>
        <w:spacing w:after="80"/>
      </w:pPr>
      <w:r>
        <w:rPr>
          <w:rFonts w:ascii="Arial" w:cs="Arial" w:eastAsia="Arial" w:hAnsi="Arial"/>
          <w:b/>
          <w:bCs/>
          <w:color w:val="F97316"/>
          <w:sz w:val="64"/>
          <w:szCs w:val="64"/>
        </w:rPr>
        <w:t xml:space="preserve">MCF.DIGITAL</w:t>
      </w:r>
    </w:p>
    <w:p>
      <w:pPr>
        <w:spacing w:after="600"/>
      </w:pPr>
      <w:r>
        <w:rPr>
          <w:rFonts w:ascii="Arial" w:cs="Arial" w:eastAsia="Arial" w:hAnsi="Arial"/>
          <w:color w:val="4A4A4A"/>
          <w:sz w:val="22"/>
          <w:szCs w:val="22"/>
        </w:rPr>
        <w:t xml:space="preserve">White Paper  ·  WP-4  ·  2026  ·  Confidential</w:t>
      </w:r>
    </w:p>
    <w:p>
      <w:pPr>
        <w:spacing w:after="80"/>
      </w:pPr>
      <w:r>
        <w:rPr>
          <w:rFonts w:ascii="Arial" w:cs="Arial" w:eastAsia="Arial" w:hAnsi="Arial"/>
          <w:b/>
          <w:bCs/>
          <w:color w:val="0A0A0A"/>
          <w:sz w:val="56"/>
          <w:szCs w:val="56"/>
        </w:rPr>
        <w:t xml:space="preserve">The Bitcoin</w:t>
      </w:r>
    </w:p>
    <w:p>
      <w:pPr>
        <w:spacing w:after="200"/>
      </w:pPr>
      <w:r>
        <w:rPr>
          <w:rFonts w:ascii="Arial" w:cs="Arial" w:eastAsia="Arial" w:hAnsi="Arial"/>
          <w:b/>
          <w:bCs/>
          <w:color w:val="F97316"/>
          <w:sz w:val="56"/>
          <w:szCs w:val="56"/>
        </w:rPr>
        <w:t xml:space="preserve">Treasury Paradox</w:t>
      </w:r>
    </w:p>
    <w:p>
      <w:pPr>
        <w:spacing w:after="600"/>
      </w:pPr>
      <w:r>
        <w:rPr>
          <w:rFonts w:ascii="Arial" w:cs="Arial" w:eastAsia="Arial" w:hAnsi="Arial"/>
          <w:color w:val="1A1A1A"/>
          <w:sz w:val="28"/>
          <w:szCs w:val="28"/>
        </w:rPr>
        <w:t xml:space="preserve">How O&amp;G Operators Can Generate Bitcoin Revenue Without Holding Bitcoin</w:t>
      </w:r>
    </w:p>
    <w:p>
      <w:pPr>
        <w:pBdr>
          <w:bottom w:val="single" w:color="F97316" w:sz="4"/>
        </w:pBdr>
        <w:spacing w:before="0" w:after="240"/>
      </w:pPr>
      <w:r>
        <w:t xml:space="preserve"/>
      </w:r>
    </w:p>
    <w:p>
      <w:pPr>
        <w:spacing w:before="0" w:after="200"/>
      </w:pPr>
      <w:r>
        <w:t xml:space="preserve"/>
      </w:r>
    </w:p>
    <w:p>
      <w:pPr>
        <w:spacing w:after="1200"/>
      </w:pPr>
      <w:r>
        <w:rPr>
          <w:rFonts w:ascii="Arial" w:cs="Arial" w:eastAsia="Arial" w:hAnsi="Arial"/>
          <w:color w:val="4A4A4A"/>
          <w:sz w:val="22"/>
          <w:szCs w:val="22"/>
        </w:rPr>
        <w:t xml:space="preserve">USD-Only Settlement Structures  ·  BTC Revenue Routing to Capital Partners  ·  Tax Treatment Analysis  ·  Peer Structuring Precedents</w:t>
      </w:r>
    </w:p>
    <w:p>
      <w:pPr>
        <w:spacing w:after="80"/>
      </w:pPr>
      <w:r>
        <w:rPr>
          <w:rFonts w:ascii="Arial" w:cs="Arial" w:eastAsia="Arial" w:hAnsi="Arial"/>
          <w:color w:val="1A1A1A"/>
          <w:sz w:val="22"/>
          <w:szCs w:val="22"/>
        </w:rPr>
        <w:t xml:space="preserve">Prepared for CFOs, Controllers, and Finance VPs at Independent O&amp;G Operators</w:t>
      </w:r>
    </w:p>
    <w:p>
      <w:pPr>
        <w:spacing w:after="80"/>
      </w:pPr>
      <w:r>
        <w:rPr>
          <w:rFonts w:ascii="Arial" w:cs="Arial" w:eastAsia="Arial" w:hAnsi="Arial"/>
          <w:i/>
          <w:iCs/>
          <w:color w:val="4A4A4A"/>
          <w:sz w:val="20"/>
          <w:szCs w:val="20"/>
        </w:rPr>
        <w:t xml:space="preserve">This document is for informational purposes only and does not constitute legal, tax, or accounting advice. Operators should engage qualified advisors before implementing any structure described herein.</w:t>
      </w:r>
    </w:p>
    <w:p>
      <w:pPr>
        <w:spacing w:after="0"/>
      </w:pPr>
      <w:r>
        <w:rPr>
          <w:rFonts w:ascii="Arial" w:cs="Arial" w:eastAsia="Arial" w:hAnsi="Arial"/>
          <w:color w:val="F97316"/>
          <w:sz w:val="22"/>
          <w:szCs w:val="22"/>
        </w:rPr>
        <w:t xml:space="preserve">mcf.digital</w:t>
      </w:r>
    </w:p>
    <w:p>
      <w:pPr>
        <w:spacing w:before="0" w:after="0"/>
      </w:pPr>
      <w:r>
        <w:br w:type="page"/>
      </w:r>
    </w:p>
    <w:p>
      <w:pPr>
        <w:pStyle w:val="Heading1"/>
        <w:pBdr>
          <w:bottom w:val="single" w:color="F97316" w:sz="3"/>
        </w:pBdr>
        <w:spacing w:before="480" w:after="180"/>
      </w:pPr>
      <w:r>
        <w:rPr>
          <w:rFonts w:ascii="Arial" w:cs="Arial" w:eastAsia="Arial" w:hAnsi="Arial"/>
          <w:b/>
          <w:bCs/>
          <w:color w:val="0A0A0A"/>
          <w:sz w:val="28"/>
          <w:szCs w:val="28"/>
        </w:rPr>
        <w:t xml:space="preserve">Executive Summary</w:t>
      </w:r>
    </w:p>
    <w:p>
      <w:pPr>
        <w:spacing w:before="0" w:after="180"/>
        <w:jc w:val="left"/>
      </w:pPr>
      <w:r>
        <w:rPr>
          <w:rFonts w:ascii="Arial" w:cs="Arial" w:eastAsia="Arial" w:hAnsi="Arial"/>
          <w:b w:val="false"/>
          <w:bCs w:val="false"/>
          <w:i w:val="false"/>
          <w:iCs w:val="false"/>
          <w:color w:val="4A4A4A"/>
          <w:sz w:val="22"/>
          <w:szCs w:val="22"/>
        </w:rPr>
        <w:t xml:space="preserve">The most common reason CFOs and finance VPs at independent oil and gas companies decline to explore on-lease Bitcoin mining is the balance sheet objection: “We can’t hold Bitcoin.” This objection is understandable, technically defensible in some organizational contexts, and also—in most cases—unnecessary. It is based on a misunderstanding of what on-lease deployment actually requires from an accounting perspective.</w:t>
      </w:r>
    </w:p>
    <w:p>
      <w:pPr>
        <w:spacing w:before="0" w:after="180"/>
        <w:jc w:val="left"/>
      </w:pPr>
      <w:r>
        <w:rPr>
          <w:rFonts w:ascii="Arial" w:cs="Arial" w:eastAsia="Arial" w:hAnsi="Arial"/>
          <w:b w:val="false"/>
          <w:bCs w:val="false"/>
          <w:i w:val="false"/>
          <w:iCs w:val="false"/>
          <w:color w:val="4A4A4A"/>
          <w:sz w:val="22"/>
          <w:szCs w:val="22"/>
        </w:rPr>
        <w:t xml:space="preserve">The on-lease gas monetization model does not require an operator to hold, custody, or account for Bitcoin in order to receive revenue from a Bitcoin mining deployment on their leases. Three distinct commercial structures allow operators to participate in on-lease revenue while receiving USD settlement, with no digital asset on the balance sheet and no requirement to establish a crypto custody policy.</w:t>
      </w:r>
    </w:p>
    <w:p>
      <w:pPr>
        <w:spacing w:before="0" w:after="180"/>
        <w:jc w:val="left"/>
      </w:pPr>
      <w:r>
        <w:rPr>
          <w:rFonts w:ascii="Arial" w:cs="Arial" w:eastAsia="Arial" w:hAnsi="Arial"/>
          <w:b w:val="false"/>
          <w:bCs w:val="false"/>
          <w:i w:val="false"/>
          <w:iCs w:val="false"/>
          <w:color w:val="4A4A4A"/>
          <w:sz w:val="22"/>
          <w:szCs w:val="22"/>
        </w:rPr>
        <w:t xml:space="preserve">This white paper explains those structures in operational and accounting terms, addresses the tax treatment of each, and documents how peer companies in the independent E&amp;P sector are currently structuring similar arrangements. The goal is to give CFOs and their advisors the information they need to evaluate whether an on-lease arrangement can work within their specific treasury and accounting constraints.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220"/>
        </w:tblCellMar>
      </w:tblPr>
      <w:tblGrid>
        <w:gridCol w:w="9360"/>
      </w:tblGrid>
      <w:tr>
        <w:tc>
          <w:tcPr>
            <w:tcW w:type="dxa" w:w="9360"/>
            <w:tcBorders>
              <w:top w:val="thick" w:color="F97316" w:sz="8"/>
              <w:left w:val="thick" w:color="F97316" w:sz="8"/>
              <w:bottom w:val="single" w:color="E0E0E0" w:sz="1"/>
              <w:right w:val="single" w:color="E0E0E0" w:sz="1"/>
            </w:tcBorders>
            <w:shd w:fill="FFF7ED" w:val="clear"/>
            <w:tcMar>
              <w:top w:type="dxa" w:w="140"/>
              <w:left w:type="dxa" w:w="220"/>
              <w:bottom w:type="dxa" w:w="140"/>
              <w:right w:type="dxa" w:w="220"/>
            </w:tcMar>
          </w:tcPr>
          <w:p>
            <w:pPr>
              <w:spacing w:after="60"/>
            </w:pPr>
            <w:r>
              <w:rPr>
                <w:rFonts w:ascii="Arial" w:cs="Arial" w:eastAsia="Arial" w:hAnsi="Arial"/>
                <w:b/>
                <w:bCs/>
                <w:color w:val="F97316"/>
                <w:sz w:val="20"/>
                <w:szCs w:val="20"/>
              </w:rPr>
              <w:t xml:space="preserve">The Core Point for Finance Teams</w:t>
            </w:r>
          </w:p>
          <w:p>
            <w:pPr>
              <w:spacing w:after="0"/>
            </w:pPr>
            <w:r>
              <w:rPr>
                <w:rFonts w:ascii="Arial" w:cs="Arial" w:eastAsia="Arial" w:hAnsi="Arial"/>
                <w:color w:val="1A1A1A"/>
                <w:sz w:val="21"/>
                <w:szCs w:val="21"/>
              </w:rPr>
              <w:t xml:space="preserve">An operator can generate revenue from gas that would otherwise be flared, receive that revenue in USD via ACH, record it as ordinary operating income, and never touch a Bitcoin wallet, custody provider, or digital asset account. The Bitcoin is a mechanism the gas buyer uses to price and settle the power they purchase from the operator’s lease. The operator’s financial exposure is to gas value, not to Bitcoin price.</w:t>
            </w:r>
          </w:p>
        </w:tc>
      </w:tr>
    </w:tbl>
    <w:p>
      <w:pPr>
        <w:pStyle w:val="Heading1"/>
        <w:pBdr>
          <w:bottom w:val="single" w:color="F97316" w:sz="3"/>
        </w:pBdr>
        <w:spacing w:before="480" w:after="180"/>
      </w:pPr>
      <w:r>
        <w:rPr>
          <w:rFonts w:ascii="Arial" w:cs="Arial" w:eastAsia="Arial" w:hAnsi="Arial"/>
          <w:b/>
          <w:bCs/>
          <w:color w:val="0A0A0A"/>
          <w:sz w:val="28"/>
          <w:szCs w:val="28"/>
        </w:rPr>
        <w:t xml:space="preserve">1. Understanding the Balance Sheet Objection</w:t>
      </w:r>
    </w:p>
    <w:p>
      <w:pPr>
        <w:pStyle w:val="Heading2"/>
        <w:spacing w:before="320" w:after="120"/>
      </w:pPr>
      <w:r>
        <w:rPr>
          <w:rFonts w:ascii="Arial" w:cs="Arial" w:eastAsia="Arial" w:hAnsi="Arial"/>
          <w:b/>
          <w:bCs/>
          <w:color w:val="1A1A1A"/>
          <w:sz w:val="24"/>
          <w:szCs w:val="24"/>
        </w:rPr>
        <w:t xml:space="preserve">1.1 Where the Objection Comes From</w:t>
      </w:r>
    </w:p>
    <w:p>
      <w:pPr>
        <w:spacing w:before="0" w:after="180"/>
        <w:jc w:val="left"/>
      </w:pPr>
      <w:r>
        <w:rPr>
          <w:rFonts w:ascii="Arial" w:cs="Arial" w:eastAsia="Arial" w:hAnsi="Arial"/>
          <w:b w:val="false"/>
          <w:bCs w:val="false"/>
          <w:i w:val="false"/>
          <w:iCs w:val="false"/>
          <w:color w:val="4A4A4A"/>
          <w:sz w:val="22"/>
          <w:szCs w:val="22"/>
        </w:rPr>
        <w:t xml:space="preserve">The “we can’t hold Bitcoin” objection has three distinct roots, and it’s worth separating them because they have different solutions: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E0E0" w:sz="1"/>
              <w:left w:val="single" w:color="E0E0E0" w:sz="1"/>
              <w:bottom w:val="single" w:color="E0E0E0" w:sz="1"/>
              <w:right w:val="single" w:color="E0E0E0" w:sz="1"/>
            </w:tcBorders>
            <w:shd w:fill="1E3A5F" w:val="clear"/>
            <w:tcMar>
              <w:top w:type="dxa" w:w="80"/>
              <w:left w:type="dxa" w:w="130"/>
              <w:bottom w:type="dxa" w:w="80"/>
              <w:right w:type="dxa" w:w="130"/>
            </w:tcMar>
          </w:tcPr>
          <w:p>
            <w:pPr>
              <w:jc w:val="left"/>
            </w:pPr>
            <w:r>
              <w:rPr>
                <w:rFonts w:ascii="Arial" w:cs="Arial" w:eastAsia="Arial" w:hAnsi="Arial"/>
                <w:b/>
                <w:bCs/>
                <w:color w:val="FFFFFF"/>
                <w:sz w:val="20"/>
                <w:szCs w:val="20"/>
              </w:rPr>
              <w:t xml:space="preserve">Root of Objection</w:t>
            </w:r>
          </w:p>
        </w:tc>
        <w:tc>
          <w:tcPr>
            <w:tcW w:type="dxa" w:w="3580"/>
            <w:tcBorders>
              <w:top w:val="single" w:color="E0E0E0" w:sz="1"/>
              <w:left w:val="single" w:color="E0E0E0" w:sz="1"/>
              <w:bottom w:val="single" w:color="E0E0E0" w:sz="1"/>
              <w:right w:val="single" w:color="E0E0E0" w:sz="1"/>
            </w:tcBorders>
            <w:shd w:fill="1E3A5F" w:val="clear"/>
            <w:tcMar>
              <w:top w:type="dxa" w:w="80"/>
              <w:left w:type="dxa" w:w="130"/>
              <w:bottom w:type="dxa" w:w="80"/>
              <w:right w:type="dxa" w:w="130"/>
            </w:tcMar>
          </w:tcPr>
          <w:p>
            <w:pPr>
              <w:jc w:val="left"/>
            </w:pPr>
            <w:r>
              <w:rPr>
                <w:rFonts w:ascii="Arial" w:cs="Arial" w:eastAsia="Arial" w:hAnsi="Arial"/>
                <w:b/>
                <w:bCs/>
                <w:color w:val="FFFFFF"/>
                <w:sz w:val="20"/>
                <w:szCs w:val="20"/>
              </w:rPr>
              <w:t xml:space="preserve">What It Actually Means</w:t>
            </w:r>
          </w:p>
        </w:tc>
        <w:tc>
          <w:tcPr>
            <w:tcW w:type="dxa" w:w="3580"/>
            <w:tcBorders>
              <w:top w:val="single" w:color="E0E0E0" w:sz="1"/>
              <w:left w:val="single" w:color="E0E0E0" w:sz="1"/>
              <w:bottom w:val="single" w:color="E0E0E0" w:sz="1"/>
              <w:right w:val="single" w:color="E0E0E0" w:sz="1"/>
            </w:tcBorders>
            <w:shd w:fill="1E3A5F" w:val="clear"/>
            <w:tcMar>
              <w:top w:type="dxa" w:w="80"/>
              <w:left w:type="dxa" w:w="130"/>
              <w:bottom w:type="dxa" w:w="80"/>
              <w:right w:type="dxa" w:w="130"/>
            </w:tcMar>
          </w:tcPr>
          <w:p>
            <w:pPr>
              <w:jc w:val="left"/>
            </w:pPr>
            <w:r>
              <w:rPr>
                <w:rFonts w:ascii="Arial" w:cs="Arial" w:eastAsia="Arial" w:hAnsi="Arial"/>
                <w:b/>
                <w:bCs/>
                <w:color w:val="FFFFFF"/>
                <w:sz w:val="20"/>
                <w:szCs w:val="20"/>
              </w:rPr>
              <w:t xml:space="preserve">Resolution</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Accounting policy</w:t>
            </w:r>
          </w:p>
        </w:tc>
        <w:tc>
          <w:tcPr>
            <w:tcW w:type="dxa" w:w="358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Company has no framework for accounting for intangible digital assets. No ASC 350-60 policy adopted. Auditors may question treatment.</w:t>
            </w:r>
          </w:p>
        </w:tc>
        <w:tc>
          <w:tcPr>
            <w:tcW w:type="dxa" w:w="358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USD-only settlement eliminates the need for any digital asset accounting policy. No BTC on the books, no policy required.</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Board / lender restriction</w:t>
            </w:r>
          </w:p>
        </w:tc>
        <w:tc>
          <w:tcPr>
            <w:tcW w:type="dxa" w:w="358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Credit agreement, bond indenture, or board resolution prohibits holding speculative assets. Bitcoin may be defined as such.</w:t>
            </w:r>
          </w:p>
        </w:tc>
        <w:tc>
          <w:tcPr>
            <w:tcW w:type="dxa" w:w="358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Hosting structure routes BTC to capital partner’s wallet, never touching operator’s accounts. Operator receives cash hosting fee.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Tax complexity concern</w:t>
            </w:r>
          </w:p>
        </w:tc>
        <w:tc>
          <w:tcPr>
            <w:tcW w:type="dxa" w:w="358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Finance team unfamiliar with digital asset tax treatment. Concern about IRS reporting requirements, mark-to-market rules, or FBAR obligations.</w:t>
            </w:r>
          </w:p>
        </w:tc>
        <w:tc>
          <w:tcPr>
            <w:tcW w:type="dxa" w:w="358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USD settlement structure converts BTC to cash before operator receives any payment. Operator’s tax exposure is identical to any other gas sale.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Reputational / stakeholder concern</w:t>
            </w:r>
          </w:p>
        </w:tc>
        <w:tc>
          <w:tcPr>
            <w:tcW w:type="dxa" w:w="358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Board, investors, or lenders may perceive ‘Bitcoin mining’ as inconsistent with company’s operating focus or ESG commitments.</w:t>
            </w:r>
          </w:p>
        </w:tc>
        <w:tc>
          <w:tcPr>
            <w:tcW w:type="dxa" w:w="358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Operator position is as a gas supplier and host, not a Bitcoin miner. Disclosure framing: “gas monetization revenue” or “on-lease power hosting.”</w:t>
            </w:r>
          </w:p>
        </w:tc>
      </w:tr>
    </w:tbl>
    <w:p>
      <w:pPr>
        <w:spacing w:before="0" w:after="120"/>
      </w:pPr>
      <w:r>
        <w:t xml:space="preserve"/>
      </w:r>
    </w:p>
    <w:p>
      <w:pPr>
        <w:pStyle w:val="Heading2"/>
        <w:spacing w:before="320" w:after="120"/>
      </w:pPr>
      <w:r>
        <w:rPr>
          <w:rFonts w:ascii="Arial" w:cs="Arial" w:eastAsia="Arial" w:hAnsi="Arial"/>
          <w:b/>
          <w:bCs/>
          <w:color w:val="1A1A1A"/>
          <w:sz w:val="24"/>
          <w:szCs w:val="24"/>
        </w:rPr>
        <w:t xml:space="preserve">1.2 What the Objection Prevents</w:t>
      </w:r>
    </w:p>
    <w:p>
      <w:pPr>
        <w:spacing w:before="0" w:after="180"/>
        <w:jc w:val="left"/>
      </w:pPr>
      <w:r>
        <w:rPr>
          <w:rFonts w:ascii="Arial" w:cs="Arial" w:eastAsia="Arial" w:hAnsi="Arial"/>
          <w:b w:val="false"/>
          <w:bCs w:val="false"/>
          <w:i w:val="false"/>
          <w:iCs w:val="false"/>
          <w:color w:val="4A4A4A"/>
          <w:sz w:val="22"/>
          <w:szCs w:val="22"/>
        </w:rPr>
        <w:t xml:space="preserve">When the balance sheet objection is accepted uncritically, operators leave real revenue on the table. Associated gas from oil production has to go somewhere—it is either monetized, flared, or vented. Flaring generates no revenue and carries increasing regulatory cost. Venting generates no revenue and carries methane fee exposure under the IRA’s Methane Emissions Reduction Program. The on-lease model monetizes that gas stream at wellhead value, through a structure that—in its USD settlement form—is accounting-equivalent to selling gas to any other industrial buyer.</w:t>
      </w:r>
    </w:p>
    <w:p>
      <w:pPr>
        <w:spacing w:before="0" w:after="180"/>
        <w:jc w:val="left"/>
      </w:pPr>
      <w:r>
        <w:rPr>
          <w:rFonts w:ascii="Arial" w:cs="Arial" w:eastAsia="Arial" w:hAnsi="Arial"/>
          <w:b w:val="false"/>
          <w:bCs w:val="false"/>
          <w:i w:val="false"/>
          <w:iCs w:val="false"/>
          <w:color w:val="4A4A4A"/>
          <w:sz w:val="22"/>
          <w:szCs w:val="22"/>
        </w:rPr>
        <w:t xml:space="preserve">The cost of the uncritical objection is measurable: for a pad flaring 300 Mcf/day, a hosting structure generating $1.80/Mcf in USD settlement revenue would produce approximately $16,200/month in otherwise-lost operating income.</w:t>
      </w:r>
    </w:p>
    <w:p>
      <w:pPr>
        <w:pStyle w:val="Heading1"/>
        <w:pBdr>
          <w:bottom w:val="single" w:color="F97316" w:sz="3"/>
        </w:pBdr>
        <w:spacing w:before="480" w:after="180"/>
      </w:pPr>
      <w:r>
        <w:rPr>
          <w:rFonts w:ascii="Arial" w:cs="Arial" w:eastAsia="Arial" w:hAnsi="Arial"/>
          <w:b/>
          <w:bCs/>
          <w:color w:val="0A0A0A"/>
          <w:sz w:val="28"/>
          <w:szCs w:val="28"/>
        </w:rPr>
        <w:t xml:space="preserve">2. The Three Structures That Allow USD-Only Settlement</w:t>
      </w:r>
    </w:p>
    <w:p>
      <w:pPr>
        <w:spacing w:before="0" w:after="180"/>
        <w:jc w:val="left"/>
      </w:pPr>
      <w:r>
        <w:rPr>
          <w:rFonts w:ascii="Arial" w:cs="Arial" w:eastAsia="Arial" w:hAnsi="Arial"/>
          <w:b w:val="false"/>
          <w:bCs w:val="false"/>
          <w:i w:val="false"/>
          <w:iCs w:val="false"/>
          <w:color w:val="4A4A4A"/>
          <w:sz w:val="22"/>
          <w:szCs w:val="22"/>
        </w:rPr>
        <w:t xml:space="preserve">The following three structures are specifically designed for operators whose treasury policy, lender covenants, or board parameters preclude holding or accounting for Bitcoin. In each case, the operator’s financial experience is functionally equivalent to receiving payment for gas or for hosting services from an industrial counterparty.</w:t>
      </w:r>
    </w:p>
    <w:p>
      <w:pPr>
        <w:spacing w:before="0" w:after="80"/>
      </w:pPr>
      <w:r>
        <w:t xml:space="preserve"/>
      </w:r>
    </w:p>
    <w:p>
      <w:pPr>
        <w:pStyle w:val="Heading2"/>
        <w:spacing w:before="320" w:after="120"/>
      </w:pPr>
      <w:r>
        <w:rPr>
          <w:rFonts w:ascii="Arial" w:cs="Arial" w:eastAsia="Arial" w:hAnsi="Arial"/>
          <w:b/>
          <w:bCs/>
          <w:color w:val="1A1A1A"/>
          <w:sz w:val="24"/>
          <w:szCs w:val="24"/>
        </w:rPr>
        <w:t xml:space="preserve">Structure A: Pure Hosting with USD Gas Rate</w:t>
      </w:r>
    </w:p>
    <w:p>
      <w:pPr>
        <w:spacing w:before="0" w:after="180"/>
        <w:jc w:val="left"/>
      </w:pPr>
      <w:r>
        <w:rPr>
          <w:rFonts w:ascii="Arial" w:cs="Arial" w:eastAsia="Arial" w:hAnsi="Arial"/>
          <w:b w:val="false"/>
          <w:bCs w:val="false"/>
          <w:i w:val="false"/>
          <w:iCs w:val="false"/>
          <w:color w:val="4A4A4A"/>
          <w:sz w:val="22"/>
          <w:szCs w:val="22"/>
        </w:rPr>
        <w:t xml:space="preserve">In the pure hosting structure, MCF.digital or the capital partner acquires the rights to use a portion of the operator’s wellhead gas stream to power an on-lease Bitcoin mining system. The operator provides the gas and site access. The arrangement is documented as a gas purchase agreement or power hosting agreement, with payment calculated as a per-Mcf rate on gas consumed.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E0E0E0" w:sz="1"/>
              <w:left w:val="single" w:color="E0E0E0" w:sz="1"/>
              <w:bottom w:val="single" w:color="E0E0E0" w:sz="1"/>
              <w:right w:val="single" w:color="E0E0E0" w:sz="1"/>
            </w:tcBorders>
            <w:shd w:fill="1A1A1A" w:val="clear"/>
            <w:tcMar>
              <w:top w:type="dxa" w:w="80"/>
              <w:left w:type="dxa" w:w="130"/>
              <w:bottom w:type="dxa" w:w="80"/>
              <w:right w:type="dxa" w:w="130"/>
            </w:tcMar>
          </w:tcPr>
          <w:p>
            <w:r>
              <w:rPr>
                <w:rFonts w:ascii="Arial" w:cs="Arial" w:eastAsia="Arial" w:hAnsi="Arial"/>
                <w:b/>
                <w:bCs/>
                <w:color w:val="FFFFFF"/>
                <w:sz w:val="20"/>
                <w:szCs w:val="20"/>
              </w:rPr>
              <w:t xml:space="preserve">Term</w:t>
            </w:r>
          </w:p>
        </w:tc>
        <w:tc>
          <w:tcPr>
            <w:tcW w:type="dxa" w:w="5960"/>
            <w:tcBorders>
              <w:top w:val="single" w:color="E0E0E0" w:sz="1"/>
              <w:left w:val="single" w:color="E0E0E0" w:sz="1"/>
              <w:bottom w:val="single" w:color="E0E0E0" w:sz="1"/>
              <w:right w:val="single" w:color="E0E0E0" w:sz="1"/>
            </w:tcBorders>
            <w:shd w:fill="1A1A1A" w:val="clear"/>
            <w:tcMar>
              <w:top w:type="dxa" w:w="80"/>
              <w:left w:type="dxa" w:w="130"/>
              <w:bottom w:type="dxa" w:w="80"/>
              <w:right w:type="dxa" w:w="130"/>
            </w:tcMar>
          </w:tcPr>
          <w:p>
            <w:r>
              <w:rPr>
                <w:rFonts w:ascii="Arial" w:cs="Arial" w:eastAsia="Arial" w:hAnsi="Arial"/>
                <w:b/>
                <w:bCs/>
                <w:color w:val="FFFFFF"/>
                <w:sz w:val="20"/>
                <w:szCs w:val="20"/>
              </w:rPr>
              <w:t xml:space="preserve">Detail</w:t>
            </w:r>
          </w:p>
        </w:tc>
      </w:tr>
      <w:tr>
        <w:tc>
          <w:tcPr>
            <w:tcW w:type="dxa" w:w="34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bCs/>
                <w:color w:val="1A1A1A"/>
                <w:sz w:val="20"/>
                <w:szCs w:val="20"/>
              </w:rPr>
              <w:t xml:space="preserve">Payment mechanism</w:t>
            </w:r>
          </w:p>
        </w:tc>
        <w:tc>
          <w:tcPr>
            <w:tcW w:type="dxa" w:w="596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Monthly ACH payment to operator’s designated bank account.</w:t>
            </w:r>
          </w:p>
        </w:tc>
      </w:tr>
      <w:tr>
        <w:tc>
          <w:tcPr>
            <w:tcW w:type="dxa" w:w="340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bCs/>
                <w:color w:val="1A1A1A"/>
                <w:sz w:val="20"/>
                <w:szCs w:val="20"/>
              </w:rPr>
              <w:t xml:space="preserve">Rate structure</w:t>
            </w:r>
          </w:p>
        </w:tc>
        <w:tc>
          <w:tcPr>
            <w:tcW w:type="dxa" w:w="596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Fixed $/Mcf rate on gas consumed, negotiated at deal execution. Typical range: $1.80–$2.40/Mcf depending on volume, gas quality, and site conditions.</w:t>
            </w:r>
          </w:p>
        </w:tc>
      </w:tr>
      <w:tr>
        <w:tc>
          <w:tcPr>
            <w:tcW w:type="dxa" w:w="34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bCs/>
                <w:color w:val="1A1A1A"/>
                <w:sz w:val="20"/>
                <w:szCs w:val="20"/>
              </w:rPr>
              <w:t xml:space="preserve">BTC on balance sheet</w:t>
            </w:r>
          </w:p>
        </w:tc>
        <w:tc>
          <w:tcPr>
            <w:tcW w:type="dxa" w:w="5960"/>
            <w:tcBorders>
              <w:top w:val="single" w:color="E0E0E0" w:sz="1"/>
              <w:left w:val="single" w:color="E0E0E0" w:sz="1"/>
              <w:bottom w:val="single" w:color="E0E0E0" w:sz="1"/>
              <w:right w:val="single" w:color="E0E0E0" w:sz="1"/>
            </w:tcBorders>
            <w:shd w:fill="DCFCE7" w:val="clear"/>
            <w:tcMar>
              <w:top w:type="dxa" w:w="80"/>
              <w:left w:type="dxa" w:w="130"/>
              <w:bottom w:type="dxa" w:w="80"/>
              <w:right w:type="dxa" w:w="130"/>
            </w:tcMar>
          </w:tcPr>
          <w:p>
            <w:r>
              <w:rPr>
                <w:rFonts w:ascii="Arial" w:cs="Arial" w:eastAsia="Arial" w:hAnsi="Arial"/>
                <w:b/>
                <w:bCs/>
                <w:color w:val="166534"/>
                <w:sz w:val="20"/>
                <w:szCs w:val="20"/>
              </w:rPr>
              <w:t xml:space="preserve">✓  None. Operator never holds, transacts in, or accounts for Bitcoin.</w:t>
            </w:r>
          </w:p>
        </w:tc>
      </w:tr>
      <w:tr>
        <w:tc>
          <w:tcPr>
            <w:tcW w:type="dxa" w:w="340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bCs/>
                <w:color w:val="1A1A1A"/>
                <w:sz w:val="20"/>
                <w:szCs w:val="20"/>
              </w:rPr>
              <w:t xml:space="preserve">Accounting treatment</w:t>
            </w:r>
          </w:p>
        </w:tc>
        <w:tc>
          <w:tcPr>
            <w:tcW w:type="dxa" w:w="596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Gas sale revenue. Operator records revenue from gas sale in the ordinary course; treatment is identical to any other gas marketing arrangement.</w:t>
            </w:r>
          </w:p>
        </w:tc>
      </w:tr>
      <w:tr>
        <w:tc>
          <w:tcPr>
            <w:tcW w:type="dxa" w:w="34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bCs/>
                <w:color w:val="1A1A1A"/>
                <w:sz w:val="20"/>
                <w:szCs w:val="20"/>
              </w:rPr>
              <w:t xml:space="preserve">BTC price exposure</w:t>
            </w:r>
          </w:p>
        </w:tc>
        <w:tc>
          <w:tcPr>
            <w:tcW w:type="dxa" w:w="5960"/>
            <w:tcBorders>
              <w:top w:val="single" w:color="E0E0E0" w:sz="1"/>
              <w:left w:val="single" w:color="E0E0E0" w:sz="1"/>
              <w:bottom w:val="single" w:color="E0E0E0" w:sz="1"/>
              <w:right w:val="single" w:color="E0E0E0" w:sz="1"/>
            </w:tcBorders>
            <w:shd w:fill="DCFCE7" w:val="clear"/>
            <w:tcMar>
              <w:top w:type="dxa" w:w="80"/>
              <w:left w:type="dxa" w:w="130"/>
              <w:bottom w:type="dxa" w:w="80"/>
              <w:right w:type="dxa" w:w="130"/>
            </w:tcMar>
          </w:tcPr>
          <w:p>
            <w:r>
              <w:rPr>
                <w:rFonts w:ascii="Arial" w:cs="Arial" w:eastAsia="Arial" w:hAnsi="Arial"/>
                <w:b/>
                <w:bCs/>
                <w:color w:val="166534"/>
                <w:sz w:val="20"/>
                <w:szCs w:val="20"/>
              </w:rPr>
              <w:t xml:space="preserve">✓  None. Operator payment is fixed regardless of Bitcoin market price.</w:t>
            </w:r>
          </w:p>
        </w:tc>
      </w:tr>
      <w:tr>
        <w:tc>
          <w:tcPr>
            <w:tcW w:type="dxa" w:w="340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bCs/>
                <w:color w:val="1A1A1A"/>
                <w:sz w:val="20"/>
                <w:szCs w:val="20"/>
              </w:rPr>
              <w:t xml:space="preserve">Typical documentation</w:t>
            </w:r>
          </w:p>
        </w:tc>
        <w:tc>
          <w:tcPr>
            <w:tcW w:type="dxa" w:w="596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Gas purchase agreement or on-lease power hosting agreement. Mineral lease review may be required to confirm on-lease gas use rights.</w:t>
            </w:r>
          </w:p>
        </w:tc>
      </w:tr>
      <w:tr>
        <w:tc>
          <w:tcPr>
            <w:tcW w:type="dxa" w:w="34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bCs/>
                <w:color w:val="1A1A1A"/>
                <w:sz w:val="20"/>
                <w:szCs w:val="20"/>
              </w:rPr>
              <w:t xml:space="preserve">Revenue upside</w:t>
            </w:r>
          </w:p>
        </w:tc>
        <w:tc>
          <w:tcPr>
            <w:tcW w:type="dxa" w:w="5960"/>
            <w:tcBorders>
              <w:top w:val="single" w:color="E0E0E0" w:sz="1"/>
              <w:left w:val="single" w:color="E0E0E0" w:sz="1"/>
              <w:bottom w:val="single" w:color="E0E0E0" w:sz="1"/>
              <w:right w:val="single" w:color="E0E0E0" w:sz="1"/>
            </w:tcBorders>
            <w:shd w:fill="FEE2E2" w:val="clear"/>
            <w:tcMar>
              <w:top w:type="dxa" w:w="80"/>
              <w:left w:type="dxa" w:w="130"/>
              <w:bottom w:type="dxa" w:w="80"/>
              <w:right w:type="dxa" w:w="130"/>
            </w:tcMar>
          </w:tcPr>
          <w:p>
            <w:r>
              <w:rPr>
                <w:rFonts w:ascii="Arial" w:cs="Arial" w:eastAsia="Arial" w:hAnsi="Arial"/>
                <w:b/>
                <w:bCs/>
                <w:color w:val="991B1B"/>
                <w:sz w:val="20"/>
                <w:szCs w:val="20"/>
              </w:rPr>
              <w:t xml:space="preserve">✗  None. Fixed rate provides certainty but no participation in Bitcoin upside.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220"/>
        </w:tblCellMar>
      </w:tblPr>
      <w:tblGrid>
        <w:gridCol w:w="9360"/>
      </w:tblGrid>
      <w:tr>
        <w:tc>
          <w:tcPr>
            <w:tcW w:type="dxa" w:w="9360"/>
            <w:tcBorders>
              <w:top w:val="thick" w:color="F97316" w:sz="8"/>
              <w:left w:val="thick" w:color="F97316" w:sz="8"/>
              <w:bottom w:val="single" w:color="E0E0E0" w:sz="1"/>
              <w:right w:val="single" w:color="E0E0E0" w:sz="1"/>
            </w:tcBorders>
            <w:shd w:fill="FFF7ED" w:val="clear"/>
            <w:tcMar>
              <w:top w:type="dxa" w:w="140"/>
              <w:left w:type="dxa" w:w="220"/>
              <w:bottom w:type="dxa" w:w="140"/>
              <w:right w:type="dxa" w:w="220"/>
            </w:tcMar>
          </w:tcPr>
          <w:p>
            <w:pPr>
              <w:spacing w:after="60"/>
            </w:pPr>
            <w:r>
              <w:rPr>
                <w:rFonts w:ascii="Arial" w:cs="Arial" w:eastAsia="Arial" w:hAnsi="Arial"/>
                <w:b/>
                <w:bCs/>
                <w:color w:val="F97316"/>
                <w:sz w:val="20"/>
                <w:szCs w:val="20"/>
              </w:rPr>
              <w:t xml:space="preserve">Accounting Classification</w:t>
            </w:r>
          </w:p>
          <w:p>
            <w:pPr>
              <w:spacing w:after="0"/>
            </w:pPr>
            <w:r>
              <w:rPr>
                <w:rFonts w:ascii="Arial" w:cs="Arial" w:eastAsia="Arial" w:hAnsi="Arial"/>
                <w:color w:val="1A1A1A"/>
                <w:sz w:val="21"/>
                <w:szCs w:val="21"/>
              </w:rPr>
              <w:t xml:space="preserve">Under Structure A, the operator’s payment is correctly classified as revenue from the sale of natural gas or as hosting service revenue (depending on how the arrangement is documented), recognized monthly on delivery. There is no derivative instrument, no variable consideration subject to constraint, and no digital asset accounting issue. The arrangement is within the scope of ASC 606 revenue recognition and ASC 932 for extractive industries. Operators should confirm treatment with their auditor prior to execution, but no novel accounting policy is required.</w:t>
            </w:r>
          </w:p>
        </w:tc>
      </w:tr>
    </w:tbl>
    <w:p>
      <w:pPr>
        <w:spacing w:before="0" w:after="160"/>
      </w:pPr>
      <w:r>
        <w:t xml:space="preserve"/>
      </w:r>
    </w:p>
    <w:p>
      <w:pPr>
        <w:pStyle w:val="Heading2"/>
        <w:spacing w:before="320" w:after="120"/>
      </w:pPr>
      <w:r>
        <w:rPr>
          <w:rFonts w:ascii="Arial" w:cs="Arial" w:eastAsia="Arial" w:hAnsi="Arial"/>
          <w:b/>
          <w:bCs/>
          <w:color w:val="1A1A1A"/>
          <w:sz w:val="24"/>
          <w:szCs w:val="24"/>
        </w:rPr>
        <w:t xml:space="preserve">Structure B: USD-Converted Revenue Share</w:t>
      </w:r>
    </w:p>
    <w:p>
      <w:pPr>
        <w:spacing w:before="0" w:after="180"/>
        <w:jc w:val="left"/>
      </w:pPr>
      <w:r>
        <w:rPr>
          <w:rFonts w:ascii="Arial" w:cs="Arial" w:eastAsia="Arial" w:hAnsi="Arial"/>
          <w:b w:val="false"/>
          <w:bCs w:val="false"/>
          <w:i w:val="false"/>
          <w:iCs w:val="false"/>
          <w:color w:val="4A4A4A"/>
          <w:sz w:val="22"/>
          <w:szCs w:val="22"/>
        </w:rPr>
        <w:t xml:space="preserve">In the USD-converted revenue share structure, the operator participates proportionally in the Bitcoin revenue generated by the on-lease deployment, but receives USD rather than Bitcoin. MCF.digital or a designated third-party conversion agent converts the operator’s share of BTC at the trailing 30-day average price and remits the USD equivalent via ACH.</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E0E0E0" w:sz="1"/>
              <w:left w:val="single" w:color="E0E0E0" w:sz="1"/>
              <w:bottom w:val="single" w:color="E0E0E0" w:sz="1"/>
              <w:right w:val="single" w:color="E0E0E0" w:sz="1"/>
            </w:tcBorders>
            <w:shd w:fill="1A1A1A" w:val="clear"/>
            <w:tcMar>
              <w:top w:type="dxa" w:w="80"/>
              <w:left w:type="dxa" w:w="130"/>
              <w:bottom w:type="dxa" w:w="80"/>
              <w:right w:type="dxa" w:w="130"/>
            </w:tcMar>
          </w:tcPr>
          <w:p>
            <w:r>
              <w:rPr>
                <w:rFonts w:ascii="Arial" w:cs="Arial" w:eastAsia="Arial" w:hAnsi="Arial"/>
                <w:b/>
                <w:bCs/>
                <w:color w:val="FFFFFF"/>
                <w:sz w:val="20"/>
                <w:szCs w:val="20"/>
              </w:rPr>
              <w:t xml:space="preserve">Term</w:t>
            </w:r>
          </w:p>
        </w:tc>
        <w:tc>
          <w:tcPr>
            <w:tcW w:type="dxa" w:w="5960"/>
            <w:tcBorders>
              <w:top w:val="single" w:color="E0E0E0" w:sz="1"/>
              <w:left w:val="single" w:color="E0E0E0" w:sz="1"/>
              <w:bottom w:val="single" w:color="E0E0E0" w:sz="1"/>
              <w:right w:val="single" w:color="E0E0E0" w:sz="1"/>
            </w:tcBorders>
            <w:shd w:fill="1A1A1A" w:val="clear"/>
            <w:tcMar>
              <w:top w:type="dxa" w:w="80"/>
              <w:left w:type="dxa" w:w="130"/>
              <w:bottom w:type="dxa" w:w="80"/>
              <w:right w:type="dxa" w:w="130"/>
            </w:tcMar>
          </w:tcPr>
          <w:p>
            <w:r>
              <w:rPr>
                <w:rFonts w:ascii="Arial" w:cs="Arial" w:eastAsia="Arial" w:hAnsi="Arial"/>
                <w:b/>
                <w:bCs/>
                <w:color w:val="FFFFFF"/>
                <w:sz w:val="20"/>
                <w:szCs w:val="20"/>
              </w:rPr>
              <w:t xml:space="preserve">Detail</w:t>
            </w:r>
          </w:p>
        </w:tc>
      </w:tr>
      <w:tr>
        <w:tc>
          <w:tcPr>
            <w:tcW w:type="dxa" w:w="34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bCs/>
                <w:color w:val="1A1A1A"/>
                <w:sz w:val="20"/>
                <w:szCs w:val="20"/>
              </w:rPr>
              <w:t xml:space="preserve">Payment mechanism</w:t>
            </w:r>
          </w:p>
        </w:tc>
        <w:tc>
          <w:tcPr>
            <w:tcW w:type="dxa" w:w="596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Monthly ACH. BTC mined attributable to operator’s share is converted to USD at 30-day trailing average price and remitted as cash.</w:t>
            </w:r>
          </w:p>
        </w:tc>
      </w:tr>
      <w:tr>
        <w:tc>
          <w:tcPr>
            <w:tcW w:type="dxa" w:w="340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bCs/>
                <w:color w:val="1A1A1A"/>
                <w:sz w:val="20"/>
                <w:szCs w:val="20"/>
              </w:rPr>
              <w:t xml:space="preserve">Rate structure</w:t>
            </w:r>
          </w:p>
        </w:tc>
        <w:tc>
          <w:tcPr>
            <w:tcW w:type="dxa" w:w="596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Operator receives 25–40% of gross BTC revenue, converted to USD. Percentage negotiated at deal execution based on gas volume and site conditions.</w:t>
            </w:r>
          </w:p>
        </w:tc>
      </w:tr>
      <w:tr>
        <w:tc>
          <w:tcPr>
            <w:tcW w:type="dxa" w:w="34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bCs/>
                <w:color w:val="1A1A1A"/>
                <w:sz w:val="20"/>
                <w:szCs w:val="20"/>
              </w:rPr>
              <w:t xml:space="preserve">BTC on balance sheet</w:t>
            </w:r>
          </w:p>
        </w:tc>
        <w:tc>
          <w:tcPr>
            <w:tcW w:type="dxa" w:w="5960"/>
            <w:tcBorders>
              <w:top w:val="single" w:color="E0E0E0" w:sz="1"/>
              <w:left w:val="single" w:color="E0E0E0" w:sz="1"/>
              <w:bottom w:val="single" w:color="E0E0E0" w:sz="1"/>
              <w:right w:val="single" w:color="E0E0E0" w:sz="1"/>
            </w:tcBorders>
            <w:shd w:fill="DCFCE7" w:val="clear"/>
            <w:tcMar>
              <w:top w:type="dxa" w:w="80"/>
              <w:left w:type="dxa" w:w="130"/>
              <w:bottom w:type="dxa" w:w="80"/>
              <w:right w:type="dxa" w:w="130"/>
            </w:tcMar>
          </w:tcPr>
          <w:p>
            <w:r>
              <w:rPr>
                <w:rFonts w:ascii="Arial" w:cs="Arial" w:eastAsia="Arial" w:hAnsi="Arial"/>
                <w:b/>
                <w:bCs/>
                <w:color w:val="166534"/>
                <w:sz w:val="20"/>
                <w:szCs w:val="20"/>
              </w:rPr>
              <w:t xml:space="preserve">✓  None, if conversion agent holds and converts before remittance. Operator’s cash receipt is USD from conversion agent.</w:t>
            </w:r>
          </w:p>
        </w:tc>
      </w:tr>
      <w:tr>
        <w:tc>
          <w:tcPr>
            <w:tcW w:type="dxa" w:w="340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bCs/>
                <w:color w:val="1A1A1A"/>
                <w:sz w:val="20"/>
                <w:szCs w:val="20"/>
              </w:rPr>
              <w:t xml:space="preserve">Accounting treatment</w:t>
            </w:r>
          </w:p>
        </w:tc>
        <w:tc>
          <w:tcPr>
            <w:tcW w:type="dxa" w:w="596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Variable consideration from gas monetization arrangement. Monthly USD receipt recorded as operating revenue. Variable element (BTC price) resolved before payment; no embedded derivative recognition required under this structure.</w:t>
            </w:r>
          </w:p>
        </w:tc>
      </w:tr>
      <w:tr>
        <w:tc>
          <w:tcPr>
            <w:tcW w:type="dxa" w:w="34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bCs/>
                <w:color w:val="1A1A1A"/>
                <w:sz w:val="20"/>
                <w:szCs w:val="20"/>
              </w:rPr>
              <w:t xml:space="preserve">BTC price exposure</w:t>
            </w:r>
          </w:p>
        </w:tc>
        <w:tc>
          <w:tcPr>
            <w:tcW w:type="dxa" w:w="5960"/>
            <w:tcBorders>
              <w:top w:val="single" w:color="E0E0E0" w:sz="1"/>
              <w:left w:val="single" w:color="E0E0E0" w:sz="1"/>
              <w:bottom w:val="single" w:color="E0E0E0" w:sz="1"/>
              <w:right w:val="single" w:color="E0E0E0" w:sz="1"/>
            </w:tcBorders>
            <w:shd w:fill="FEF3C7" w:val="clear"/>
            <w:tcMar>
              <w:top w:type="dxa" w:w="80"/>
              <w:left w:type="dxa" w:w="130"/>
              <w:bottom w:type="dxa" w:w="80"/>
              <w:right w:type="dxa" w:w="130"/>
            </w:tcMar>
          </w:tcPr>
          <w:p>
            <w:r>
              <w:rPr>
                <w:rFonts w:ascii="Arial" w:cs="Arial" w:eastAsia="Arial" w:hAnsi="Arial"/>
                <w:b/>
                <w:bCs/>
                <w:color w:val="92400E"/>
                <w:sz w:val="20"/>
                <w:szCs w:val="20"/>
              </w:rPr>
              <w:t xml:space="preserve">⚠  Indirect exposure. Operator’s USD payment varies with BTC price at time of conversion. No direct holding, but revenue fluctuates with BTC market.</w:t>
            </w:r>
          </w:p>
        </w:tc>
      </w:tr>
      <w:tr>
        <w:tc>
          <w:tcPr>
            <w:tcW w:type="dxa" w:w="340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bCs/>
                <w:color w:val="1A1A1A"/>
                <w:sz w:val="20"/>
                <w:szCs w:val="20"/>
              </w:rPr>
              <w:t xml:space="preserve">Revenue upside</w:t>
            </w:r>
          </w:p>
        </w:tc>
        <w:tc>
          <w:tcPr>
            <w:tcW w:type="dxa" w:w="5960"/>
            <w:tcBorders>
              <w:top w:val="single" w:color="E0E0E0" w:sz="1"/>
              <w:left w:val="single" w:color="E0E0E0" w:sz="1"/>
              <w:bottom w:val="single" w:color="E0E0E0" w:sz="1"/>
              <w:right w:val="single" w:color="E0E0E0" w:sz="1"/>
            </w:tcBorders>
            <w:shd w:fill="DCFCE7" w:val="clear"/>
            <w:tcMar>
              <w:top w:type="dxa" w:w="80"/>
              <w:left w:type="dxa" w:w="130"/>
              <w:bottom w:type="dxa" w:w="80"/>
              <w:right w:type="dxa" w:w="130"/>
            </w:tcMar>
          </w:tcPr>
          <w:p>
            <w:r>
              <w:rPr>
                <w:rFonts w:ascii="Arial" w:cs="Arial" w:eastAsia="Arial" w:hAnsi="Arial"/>
                <w:b/>
                <w:bCs/>
                <w:color w:val="166534"/>
                <w:sz w:val="20"/>
                <w:szCs w:val="20"/>
              </w:rPr>
              <w:t xml:space="preserve">✓  Participates in Bitcoin price upside through variable USD payment. Bull case materially exceeds fixed hosting rate.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220"/>
        </w:tblCellMar>
      </w:tblPr>
      <w:tblGrid>
        <w:gridCol w:w="9360"/>
      </w:tblGrid>
      <w:tr>
        <w:tc>
          <w:tcPr>
            <w:tcW w:type="dxa" w:w="9360"/>
            <w:tcBorders>
              <w:top w:val="thick" w:color="F97316" w:sz="8"/>
              <w:left w:val="thick" w:color="F97316" w:sz="8"/>
              <w:bottom w:val="single" w:color="E0E0E0" w:sz="1"/>
              <w:right w:val="single" w:color="E0E0E0" w:sz="1"/>
            </w:tcBorders>
            <w:shd w:fill="FFF7ED" w:val="clear"/>
            <w:tcMar>
              <w:top w:type="dxa" w:w="140"/>
              <w:left w:type="dxa" w:w="220"/>
              <w:bottom w:type="dxa" w:w="140"/>
              <w:right w:type="dxa" w:w="220"/>
            </w:tcMar>
          </w:tcPr>
          <w:p>
            <w:pPr>
              <w:spacing w:after="60"/>
            </w:pPr>
            <w:r>
              <w:rPr>
                <w:rFonts w:ascii="Arial" w:cs="Arial" w:eastAsia="Arial" w:hAnsi="Arial"/>
                <w:b/>
                <w:bCs/>
                <w:color w:val="F97316"/>
                <w:sz w:val="20"/>
                <w:szCs w:val="20"/>
              </w:rPr>
              <w:t xml:space="preserve">Key Accounting Question for Structure B</w:t>
            </w:r>
          </w:p>
          <w:p>
            <w:pPr>
              <w:spacing w:after="100"/>
            </w:pPr>
            <w:r>
              <w:rPr>
                <w:rFonts w:ascii="Arial" w:cs="Arial" w:eastAsia="Arial" w:hAnsi="Arial"/>
                <w:color w:val="1A1A1A"/>
                <w:sz w:val="21"/>
                <w:szCs w:val="21"/>
              </w:rPr>
              <w:t xml:space="preserve">The critical question for this structure is whether the USD-conversion arrangement creates an embedded derivative requiring bifurcation under ASC 815. The answer depends on whether the arrangement is indexed to Bitcoin price as a standalone feature or whether BTC price is simply the market mechanism used to price a gas sale. Operators whose auditors take a conservative view of embedded derivative treatment should prefer Structure A (fixed rate) or Structure C (capital partner routing).</w:t>
            </w:r>
          </w:p>
          <w:p>
            <w:pPr>
              <w:spacing w:after="0"/>
            </w:pPr>
            <w:r>
              <w:rPr>
                <w:rFonts w:ascii="Arial" w:cs="Arial" w:eastAsia="Arial" w:hAnsi="Arial"/>
                <w:color w:val="1A1A1A"/>
                <w:sz w:val="21"/>
                <w:szCs w:val="21"/>
              </w:rPr>
              <w:t xml:space="preserve">In practice, Structure B works cleanly for operators whose auditors accept the conversion agent’s role as an administrative function rather than a derivative instrument. Several independent E&amp;P companies have implemented this structure without embedded derivative treatment by documenting the conversion as a settlement mechanism for a gas hosting contract, not as a BTC-indexed price component.</w:t>
            </w:r>
          </w:p>
        </w:tc>
      </w:tr>
    </w:tbl>
    <w:p>
      <w:pPr>
        <w:spacing w:before="0" w:after="160"/>
      </w:pPr>
      <w:r>
        <w:t xml:space="preserve"/>
      </w:r>
    </w:p>
    <w:p>
      <w:pPr>
        <w:pStyle w:val="Heading2"/>
        <w:spacing w:before="320" w:after="120"/>
      </w:pPr>
      <w:r>
        <w:rPr>
          <w:rFonts w:ascii="Arial" w:cs="Arial" w:eastAsia="Arial" w:hAnsi="Arial"/>
          <w:b/>
          <w:bCs/>
          <w:color w:val="1A1A1A"/>
          <w:sz w:val="24"/>
          <w:szCs w:val="24"/>
        </w:rPr>
        <w:t xml:space="preserve">Structure C: Capital Partner Revenue Routing</w:t>
      </w:r>
    </w:p>
    <w:p>
      <w:pPr>
        <w:spacing w:before="0" w:after="180"/>
        <w:jc w:val="left"/>
      </w:pPr>
      <w:r>
        <w:rPr>
          <w:rFonts w:ascii="Arial" w:cs="Arial" w:eastAsia="Arial" w:hAnsi="Arial"/>
          <w:b w:val="false"/>
          <w:bCs w:val="false"/>
          <w:i w:val="false"/>
          <w:iCs w:val="false"/>
          <w:color w:val="4A4A4A"/>
          <w:sz w:val="22"/>
          <w:szCs w:val="22"/>
        </w:rPr>
        <w:t xml:space="preserve">In the capital partner routing structure, a third-party investor—typically a high-net-worth individual or family office—provides the CapEx for the on-lease deployment and receives the Bitcoin revenue directly into their own custody wallet. The operator’s revenue comes from a separate cash fee paid by the capital partner, structured as a site access fee, a gas supply fee, or a hosting fee under a separate bilateral agreement.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E0E0E0" w:sz="1"/>
              <w:left w:val="single" w:color="E0E0E0" w:sz="1"/>
              <w:bottom w:val="single" w:color="E0E0E0" w:sz="1"/>
              <w:right w:val="single" w:color="E0E0E0" w:sz="1"/>
            </w:tcBorders>
            <w:shd w:fill="1A1A1A" w:val="clear"/>
            <w:tcMar>
              <w:top w:type="dxa" w:w="80"/>
              <w:left w:type="dxa" w:w="130"/>
              <w:bottom w:type="dxa" w:w="80"/>
              <w:right w:type="dxa" w:w="130"/>
            </w:tcMar>
          </w:tcPr>
          <w:p>
            <w:r>
              <w:rPr>
                <w:rFonts w:ascii="Arial" w:cs="Arial" w:eastAsia="Arial" w:hAnsi="Arial"/>
                <w:b/>
                <w:bCs/>
                <w:color w:val="FFFFFF"/>
                <w:sz w:val="20"/>
                <w:szCs w:val="20"/>
              </w:rPr>
              <w:t xml:space="preserve">Term</w:t>
            </w:r>
          </w:p>
        </w:tc>
        <w:tc>
          <w:tcPr>
            <w:tcW w:type="dxa" w:w="5960"/>
            <w:tcBorders>
              <w:top w:val="single" w:color="E0E0E0" w:sz="1"/>
              <w:left w:val="single" w:color="E0E0E0" w:sz="1"/>
              <w:bottom w:val="single" w:color="E0E0E0" w:sz="1"/>
              <w:right w:val="single" w:color="E0E0E0" w:sz="1"/>
            </w:tcBorders>
            <w:shd w:fill="1A1A1A" w:val="clear"/>
            <w:tcMar>
              <w:top w:type="dxa" w:w="80"/>
              <w:left w:type="dxa" w:w="130"/>
              <w:bottom w:type="dxa" w:w="80"/>
              <w:right w:type="dxa" w:w="130"/>
            </w:tcMar>
          </w:tcPr>
          <w:p>
            <w:r>
              <w:rPr>
                <w:rFonts w:ascii="Arial" w:cs="Arial" w:eastAsia="Arial" w:hAnsi="Arial"/>
                <w:b/>
                <w:bCs/>
                <w:color w:val="FFFFFF"/>
                <w:sz w:val="20"/>
                <w:szCs w:val="20"/>
              </w:rPr>
              <w:t xml:space="preserve">Detail</w:t>
            </w:r>
          </w:p>
        </w:tc>
      </w:tr>
      <w:tr>
        <w:tc>
          <w:tcPr>
            <w:tcW w:type="dxa" w:w="34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bCs/>
                <w:color w:val="1A1A1A"/>
                <w:sz w:val="20"/>
                <w:szCs w:val="20"/>
              </w:rPr>
              <w:t xml:space="preserve">Payment mechanism</w:t>
            </w:r>
          </w:p>
        </w:tc>
        <w:tc>
          <w:tcPr>
            <w:tcW w:type="dxa" w:w="596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Capital partner pays operator a monthly cash fee. BTC flows entirely to capital partner’s wallet; operator has no interest in and no access to the BTC revenue stream.</w:t>
            </w:r>
          </w:p>
        </w:tc>
      </w:tr>
      <w:tr>
        <w:tc>
          <w:tcPr>
            <w:tcW w:type="dxa" w:w="340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bCs/>
                <w:color w:val="1A1A1A"/>
                <w:sz w:val="20"/>
                <w:szCs w:val="20"/>
              </w:rPr>
              <w:t xml:space="preserve">Rate structure</w:t>
            </w:r>
          </w:p>
        </w:tc>
        <w:tc>
          <w:tcPr>
            <w:tcW w:type="dxa" w:w="596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Operator receives fixed monthly cash fee from capital partner, independent of BTC price. Typical range: $8,000–$18,000/month depending on gas volume and site.</w:t>
            </w:r>
          </w:p>
        </w:tc>
      </w:tr>
      <w:tr>
        <w:tc>
          <w:tcPr>
            <w:tcW w:type="dxa" w:w="34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bCs/>
                <w:color w:val="1A1A1A"/>
                <w:sz w:val="20"/>
                <w:szCs w:val="20"/>
              </w:rPr>
              <w:t xml:space="preserve">BTC on balance sheet</w:t>
            </w:r>
          </w:p>
        </w:tc>
        <w:tc>
          <w:tcPr>
            <w:tcW w:type="dxa" w:w="5960"/>
            <w:tcBorders>
              <w:top w:val="single" w:color="E0E0E0" w:sz="1"/>
              <w:left w:val="single" w:color="E0E0E0" w:sz="1"/>
              <w:bottom w:val="single" w:color="E0E0E0" w:sz="1"/>
              <w:right w:val="single" w:color="E0E0E0" w:sz="1"/>
            </w:tcBorders>
            <w:shd w:fill="DCFCE7" w:val="clear"/>
            <w:tcMar>
              <w:top w:type="dxa" w:w="80"/>
              <w:left w:type="dxa" w:w="130"/>
              <w:bottom w:type="dxa" w:w="80"/>
              <w:right w:type="dxa" w:w="130"/>
            </w:tcMar>
          </w:tcPr>
          <w:p>
            <w:r>
              <w:rPr>
                <w:rFonts w:ascii="Arial" w:cs="Arial" w:eastAsia="Arial" w:hAnsi="Arial"/>
                <w:b/>
                <w:bCs/>
                <w:color w:val="166534"/>
                <w:sz w:val="20"/>
                <w:szCs w:val="20"/>
              </w:rPr>
              <w:t xml:space="preserve">✓  None. BTC is received by and belongs to capital partner. Operator has no BTC position, account, or custodial interest of any kind.</w:t>
            </w:r>
          </w:p>
        </w:tc>
      </w:tr>
      <w:tr>
        <w:tc>
          <w:tcPr>
            <w:tcW w:type="dxa" w:w="340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bCs/>
                <w:color w:val="1A1A1A"/>
                <w:sz w:val="20"/>
                <w:szCs w:val="20"/>
              </w:rPr>
              <w:t xml:space="preserve">Accounting treatment</w:t>
            </w:r>
          </w:p>
        </w:tc>
        <w:tc>
          <w:tcPr>
            <w:tcW w:type="dxa" w:w="596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Cash fee income from site access or gas hosting arrangement. Simplest possible accounting treatment—monthly cash receipt recorded as operating revenue.</w:t>
            </w:r>
          </w:p>
        </w:tc>
      </w:tr>
      <w:tr>
        <w:tc>
          <w:tcPr>
            <w:tcW w:type="dxa" w:w="34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bCs/>
                <w:color w:val="1A1A1A"/>
                <w:sz w:val="20"/>
                <w:szCs w:val="20"/>
              </w:rPr>
              <w:t xml:space="preserve">BTC price exposure</w:t>
            </w:r>
          </w:p>
        </w:tc>
        <w:tc>
          <w:tcPr>
            <w:tcW w:type="dxa" w:w="5960"/>
            <w:tcBorders>
              <w:top w:val="single" w:color="E0E0E0" w:sz="1"/>
              <w:left w:val="single" w:color="E0E0E0" w:sz="1"/>
              <w:bottom w:val="single" w:color="E0E0E0" w:sz="1"/>
              <w:right w:val="single" w:color="E0E0E0" w:sz="1"/>
            </w:tcBorders>
            <w:shd w:fill="DCFCE7" w:val="clear"/>
            <w:tcMar>
              <w:top w:type="dxa" w:w="80"/>
              <w:left w:type="dxa" w:w="130"/>
              <w:bottom w:type="dxa" w:w="80"/>
              <w:right w:type="dxa" w:w="130"/>
            </w:tcMar>
          </w:tcPr>
          <w:p>
            <w:r>
              <w:rPr>
                <w:rFonts w:ascii="Arial" w:cs="Arial" w:eastAsia="Arial" w:hAnsi="Arial"/>
                <w:b/>
                <w:bCs/>
                <w:color w:val="166534"/>
                <w:sz w:val="20"/>
                <w:szCs w:val="20"/>
              </w:rPr>
              <w:t xml:space="preserve">✓  None. Operator’s cash fee is fixed regardless of BTC market price. Capital partner bears all BTC exposure.</w:t>
            </w:r>
          </w:p>
        </w:tc>
      </w:tr>
      <w:tr>
        <w:tc>
          <w:tcPr>
            <w:tcW w:type="dxa" w:w="340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bCs/>
                <w:color w:val="1A1A1A"/>
                <w:sz w:val="20"/>
                <w:szCs w:val="20"/>
              </w:rPr>
              <w:t xml:space="preserve">Revenue upside</w:t>
            </w:r>
          </w:p>
        </w:tc>
        <w:tc>
          <w:tcPr>
            <w:tcW w:type="dxa" w:w="5960"/>
            <w:tcBorders>
              <w:top w:val="single" w:color="E0E0E0" w:sz="1"/>
              <w:left w:val="single" w:color="E0E0E0" w:sz="1"/>
              <w:bottom w:val="single" w:color="E0E0E0" w:sz="1"/>
              <w:right w:val="single" w:color="E0E0E0" w:sz="1"/>
            </w:tcBorders>
            <w:shd w:fill="FEE2E2" w:val="clear"/>
            <w:tcMar>
              <w:top w:type="dxa" w:w="80"/>
              <w:left w:type="dxa" w:w="130"/>
              <w:bottom w:type="dxa" w:w="80"/>
              <w:right w:type="dxa" w:w="130"/>
            </w:tcMar>
          </w:tcPr>
          <w:p>
            <w:r>
              <w:rPr>
                <w:rFonts w:ascii="Arial" w:cs="Arial" w:eastAsia="Arial" w:hAnsi="Arial"/>
                <w:b/>
                <w:bCs/>
                <w:color w:val="991B1B"/>
                <w:sz w:val="20"/>
                <w:szCs w:val="20"/>
              </w:rPr>
              <w:t xml:space="preserve">✗  None for operator. Fixed cash fee. Capital partner captures BTC upside.</w:t>
            </w:r>
          </w:p>
        </w:tc>
      </w:tr>
      <w:tr>
        <w:tc>
          <w:tcPr>
            <w:tcW w:type="dxa" w:w="34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bCs/>
                <w:color w:val="1A1A1A"/>
                <w:sz w:val="20"/>
                <w:szCs w:val="20"/>
              </w:rPr>
              <w:t xml:space="preserve">Best fit for</w:t>
            </w:r>
          </w:p>
        </w:tc>
        <w:tc>
          <w:tcPr>
            <w:tcW w:type="dxa" w:w="596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Operators with lender covenants or board resolutions explicitly restricting digital asset exposure. Structure C is the most defensible position for operators with highly restrictive treasury parameters.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E0E0E0" w:sz="1"/>
              <w:left w:val="single" w:color="E0E0E0" w:sz="1"/>
              <w:bottom w:val="single" w:color="E0E0E0" w:sz="1"/>
              <w:right w:val="single" w:color="E0E0E0" w:sz="1"/>
            </w:tcBorders>
            <w:shd w:fill="1E3A5F" w:val="clear"/>
            <w:tcMar>
              <w:top w:type="dxa" w:w="80"/>
              <w:left w:type="dxa" w:w="130"/>
              <w:bottom w:type="dxa" w:w="80"/>
              <w:right w:type="dxa" w:w="130"/>
            </w:tcMar>
          </w:tcPr>
          <w:p>
            <w:pPr>
              <w:jc w:val="left"/>
            </w:pPr>
            <w:r>
              <w:rPr>
                <w:rFonts w:ascii="Arial" w:cs="Arial" w:eastAsia="Arial" w:hAnsi="Arial"/>
                <w:b/>
                <w:bCs/>
                <w:color w:val="FFFFFF"/>
                <w:sz w:val="20"/>
                <w:szCs w:val="20"/>
              </w:rPr>
              <w:t xml:space="preserve">Comparison</w:t>
            </w:r>
          </w:p>
        </w:tc>
        <w:tc>
          <w:tcPr>
            <w:tcW w:type="dxa" w:w="2320"/>
            <w:tcBorders>
              <w:top w:val="single" w:color="E0E0E0" w:sz="1"/>
              <w:left w:val="single" w:color="E0E0E0" w:sz="1"/>
              <w:bottom w:val="single" w:color="E0E0E0" w:sz="1"/>
              <w:right w:val="single" w:color="E0E0E0" w:sz="1"/>
            </w:tcBorders>
            <w:shd w:fill="F97316" w:val="clear"/>
            <w:tcMar>
              <w:top w:type="dxa" w:w="80"/>
              <w:left w:type="dxa" w:w="130"/>
              <w:bottom w:type="dxa" w:w="80"/>
              <w:right w:type="dxa" w:w="130"/>
            </w:tcMar>
          </w:tcPr>
          <w:p>
            <w:r>
              <w:rPr>
                <w:rFonts w:ascii="Arial" w:cs="Arial" w:eastAsia="Arial" w:hAnsi="Arial"/>
                <w:b/>
                <w:bCs/>
                <w:color w:val="FFFFFF"/>
                <w:sz w:val="20"/>
                <w:szCs w:val="20"/>
              </w:rPr>
              <w:t xml:space="preserve">Structure A
Hosting Rate</w:t>
            </w:r>
          </w:p>
        </w:tc>
        <w:tc>
          <w:tcPr>
            <w:tcW w:type="dxa" w:w="2320"/>
            <w:tcBorders>
              <w:top w:val="single" w:color="E0E0E0" w:sz="1"/>
              <w:left w:val="single" w:color="E0E0E0" w:sz="1"/>
              <w:bottom w:val="single" w:color="E0E0E0" w:sz="1"/>
              <w:right w:val="single" w:color="E0E0E0" w:sz="1"/>
            </w:tcBorders>
            <w:shd w:fill="1E3A5F" w:val="clear"/>
            <w:tcMar>
              <w:top w:type="dxa" w:w="80"/>
              <w:left w:type="dxa" w:w="130"/>
              <w:bottom w:type="dxa" w:w="80"/>
              <w:right w:type="dxa" w:w="130"/>
            </w:tcMar>
          </w:tcPr>
          <w:p>
            <w:pPr>
              <w:jc w:val="left"/>
            </w:pPr>
            <w:r>
              <w:rPr>
                <w:rFonts w:ascii="Arial" w:cs="Arial" w:eastAsia="Arial" w:hAnsi="Arial"/>
                <w:b/>
                <w:bCs/>
                <w:color w:val="FFFFFF"/>
                <w:sz w:val="20"/>
                <w:szCs w:val="20"/>
              </w:rPr>
              <w:t xml:space="preserve">Structure B
USD Rev Share</w:t>
            </w:r>
          </w:p>
        </w:tc>
        <w:tc>
          <w:tcPr>
            <w:tcW w:type="dxa" w:w="2320"/>
            <w:tcBorders>
              <w:top w:val="single" w:color="E0E0E0" w:sz="1"/>
              <w:left w:val="single" w:color="E0E0E0" w:sz="1"/>
              <w:bottom w:val="single" w:color="E0E0E0" w:sz="1"/>
              <w:right w:val="single" w:color="E0E0E0" w:sz="1"/>
            </w:tcBorders>
            <w:shd w:fill="1A1A1A" w:val="clear"/>
            <w:tcMar>
              <w:top w:type="dxa" w:w="80"/>
              <w:left w:type="dxa" w:w="130"/>
              <w:bottom w:type="dxa" w:w="80"/>
              <w:right w:type="dxa" w:w="130"/>
            </w:tcMar>
          </w:tcPr>
          <w:p>
            <w:r>
              <w:rPr>
                <w:rFonts w:ascii="Arial" w:cs="Arial" w:eastAsia="Arial" w:hAnsi="Arial"/>
                <w:b/>
                <w:bCs/>
                <w:color w:val="FFFFFF"/>
                <w:sz w:val="20"/>
                <w:szCs w:val="20"/>
              </w:rPr>
              <w:t xml:space="preserve">Structure C
Capital Partner</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bCs/>
                <w:color w:val="1A1A1A"/>
                <w:sz w:val="20"/>
                <w:szCs w:val="20"/>
              </w:rPr>
              <w:t xml:space="preserve">BTC on balance sheet</w:t>
            </w:r>
          </w:p>
        </w:tc>
        <w:tc>
          <w:tcPr>
            <w:tcW w:type="dxa" w:w="2320"/>
            <w:tcBorders>
              <w:top w:val="single" w:color="E0E0E0" w:sz="1"/>
              <w:left w:val="single" w:color="E0E0E0" w:sz="1"/>
              <w:bottom w:val="single" w:color="E0E0E0" w:sz="1"/>
              <w:right w:val="single" w:color="E0E0E0" w:sz="1"/>
            </w:tcBorders>
            <w:shd w:fill="DCFCE7" w:val="clear"/>
            <w:tcMar>
              <w:top w:type="dxa" w:w="80"/>
              <w:left w:type="dxa" w:w="130"/>
              <w:bottom w:type="dxa" w:w="80"/>
              <w:right w:type="dxa" w:w="130"/>
            </w:tcMar>
          </w:tcPr>
          <w:p>
            <w:r>
              <w:rPr>
                <w:rFonts w:ascii="Arial" w:cs="Arial" w:eastAsia="Arial" w:hAnsi="Arial"/>
                <w:b/>
                <w:bCs/>
                <w:color w:val="166534"/>
                <w:sz w:val="20"/>
                <w:szCs w:val="20"/>
              </w:rPr>
              <w:t xml:space="preserve">✓  None</w:t>
            </w:r>
          </w:p>
        </w:tc>
        <w:tc>
          <w:tcPr>
            <w:tcW w:type="dxa" w:w="2320"/>
            <w:tcBorders>
              <w:top w:val="single" w:color="E0E0E0" w:sz="1"/>
              <w:left w:val="single" w:color="E0E0E0" w:sz="1"/>
              <w:bottom w:val="single" w:color="E0E0E0" w:sz="1"/>
              <w:right w:val="single" w:color="E0E0E0" w:sz="1"/>
            </w:tcBorders>
            <w:shd w:fill="DCFCE7" w:val="clear"/>
            <w:tcMar>
              <w:top w:type="dxa" w:w="80"/>
              <w:left w:type="dxa" w:w="130"/>
              <w:bottom w:type="dxa" w:w="80"/>
              <w:right w:type="dxa" w:w="130"/>
            </w:tcMar>
          </w:tcPr>
          <w:p>
            <w:r>
              <w:rPr>
                <w:rFonts w:ascii="Arial" w:cs="Arial" w:eastAsia="Arial" w:hAnsi="Arial"/>
                <w:b/>
                <w:bCs/>
                <w:color w:val="166534"/>
                <w:sz w:val="20"/>
                <w:szCs w:val="20"/>
              </w:rPr>
              <w:t xml:space="preserve">✓  None</w:t>
            </w:r>
          </w:p>
        </w:tc>
        <w:tc>
          <w:tcPr>
            <w:tcW w:type="dxa" w:w="2320"/>
            <w:tcBorders>
              <w:top w:val="single" w:color="E0E0E0" w:sz="1"/>
              <w:left w:val="single" w:color="E0E0E0" w:sz="1"/>
              <w:bottom w:val="single" w:color="E0E0E0" w:sz="1"/>
              <w:right w:val="single" w:color="E0E0E0" w:sz="1"/>
            </w:tcBorders>
            <w:shd w:fill="DCFCE7" w:val="clear"/>
            <w:tcMar>
              <w:top w:type="dxa" w:w="80"/>
              <w:left w:type="dxa" w:w="130"/>
              <w:bottom w:type="dxa" w:w="80"/>
              <w:right w:type="dxa" w:w="130"/>
            </w:tcMar>
          </w:tcPr>
          <w:p>
            <w:r>
              <w:rPr>
                <w:rFonts w:ascii="Arial" w:cs="Arial" w:eastAsia="Arial" w:hAnsi="Arial"/>
                <w:b/>
                <w:bCs/>
                <w:color w:val="166534"/>
                <w:sz w:val="20"/>
                <w:szCs w:val="20"/>
              </w:rPr>
              <w:t xml:space="preserve">✓  None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bCs/>
                <w:color w:val="1A1A1A"/>
                <w:sz w:val="20"/>
                <w:szCs w:val="20"/>
              </w:rPr>
              <w:t xml:space="preserve">BTC price exposure</w:t>
            </w:r>
          </w:p>
        </w:tc>
        <w:tc>
          <w:tcPr>
            <w:tcW w:type="dxa" w:w="2320"/>
            <w:tcBorders>
              <w:top w:val="single" w:color="E0E0E0" w:sz="1"/>
              <w:left w:val="single" w:color="E0E0E0" w:sz="1"/>
              <w:bottom w:val="single" w:color="E0E0E0" w:sz="1"/>
              <w:right w:val="single" w:color="E0E0E0" w:sz="1"/>
            </w:tcBorders>
            <w:shd w:fill="DCFCE7" w:val="clear"/>
            <w:tcMar>
              <w:top w:type="dxa" w:w="80"/>
              <w:left w:type="dxa" w:w="130"/>
              <w:bottom w:type="dxa" w:w="80"/>
              <w:right w:type="dxa" w:w="130"/>
            </w:tcMar>
          </w:tcPr>
          <w:p>
            <w:r>
              <w:rPr>
                <w:rFonts w:ascii="Arial" w:cs="Arial" w:eastAsia="Arial" w:hAnsi="Arial"/>
                <w:b/>
                <w:bCs/>
                <w:color w:val="166534"/>
                <w:sz w:val="20"/>
                <w:szCs w:val="20"/>
              </w:rPr>
              <w:t xml:space="preserve">✓  None</w:t>
            </w:r>
          </w:p>
        </w:tc>
        <w:tc>
          <w:tcPr>
            <w:tcW w:type="dxa" w:w="2320"/>
            <w:tcBorders>
              <w:top w:val="single" w:color="E0E0E0" w:sz="1"/>
              <w:left w:val="single" w:color="E0E0E0" w:sz="1"/>
              <w:bottom w:val="single" w:color="E0E0E0" w:sz="1"/>
              <w:right w:val="single" w:color="E0E0E0" w:sz="1"/>
            </w:tcBorders>
            <w:shd w:fill="FEF3C7" w:val="clear"/>
            <w:tcMar>
              <w:top w:type="dxa" w:w="80"/>
              <w:left w:type="dxa" w:w="130"/>
              <w:bottom w:type="dxa" w:w="80"/>
              <w:right w:type="dxa" w:w="130"/>
            </w:tcMar>
          </w:tcPr>
          <w:p>
            <w:r>
              <w:rPr>
                <w:rFonts w:ascii="Arial" w:cs="Arial" w:eastAsia="Arial" w:hAnsi="Arial"/>
                <w:b/>
                <w:bCs/>
                <w:color w:val="92400E"/>
                <w:sz w:val="20"/>
                <w:szCs w:val="20"/>
              </w:rPr>
              <w:t xml:space="preserve">⚠  Indirect (USD pmt varies)</w:t>
            </w:r>
          </w:p>
        </w:tc>
        <w:tc>
          <w:tcPr>
            <w:tcW w:type="dxa" w:w="2320"/>
            <w:tcBorders>
              <w:top w:val="single" w:color="E0E0E0" w:sz="1"/>
              <w:left w:val="single" w:color="E0E0E0" w:sz="1"/>
              <w:bottom w:val="single" w:color="E0E0E0" w:sz="1"/>
              <w:right w:val="single" w:color="E0E0E0" w:sz="1"/>
            </w:tcBorders>
            <w:shd w:fill="DCFCE7" w:val="clear"/>
            <w:tcMar>
              <w:top w:type="dxa" w:w="80"/>
              <w:left w:type="dxa" w:w="130"/>
              <w:bottom w:type="dxa" w:w="80"/>
              <w:right w:type="dxa" w:w="130"/>
            </w:tcMar>
          </w:tcPr>
          <w:p>
            <w:r>
              <w:rPr>
                <w:rFonts w:ascii="Arial" w:cs="Arial" w:eastAsia="Arial" w:hAnsi="Arial"/>
                <w:b/>
                <w:bCs/>
                <w:color w:val="166534"/>
                <w:sz w:val="20"/>
                <w:szCs w:val="20"/>
              </w:rPr>
              <w:t xml:space="preserve">✓  None</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bCs/>
                <w:color w:val="1A1A1A"/>
                <w:sz w:val="20"/>
                <w:szCs w:val="20"/>
              </w:rPr>
              <w:t xml:space="preserve">Revenue upside</w:t>
            </w:r>
          </w:p>
        </w:tc>
        <w:tc>
          <w:tcPr>
            <w:tcW w:type="dxa" w:w="2320"/>
            <w:tcBorders>
              <w:top w:val="single" w:color="E0E0E0" w:sz="1"/>
              <w:left w:val="single" w:color="E0E0E0" w:sz="1"/>
              <w:bottom w:val="single" w:color="E0E0E0" w:sz="1"/>
              <w:right w:val="single" w:color="E0E0E0" w:sz="1"/>
            </w:tcBorders>
            <w:shd w:fill="FEE2E2" w:val="clear"/>
            <w:tcMar>
              <w:top w:type="dxa" w:w="80"/>
              <w:left w:type="dxa" w:w="130"/>
              <w:bottom w:type="dxa" w:w="80"/>
              <w:right w:type="dxa" w:w="130"/>
            </w:tcMar>
          </w:tcPr>
          <w:p>
            <w:r>
              <w:rPr>
                <w:rFonts w:ascii="Arial" w:cs="Arial" w:eastAsia="Arial" w:hAnsi="Arial"/>
                <w:b/>
                <w:bCs/>
                <w:color w:val="991B1B"/>
                <w:sz w:val="20"/>
                <w:szCs w:val="20"/>
              </w:rPr>
              <w:t xml:space="preserve">✗  Fixed only</w:t>
            </w:r>
          </w:p>
        </w:tc>
        <w:tc>
          <w:tcPr>
            <w:tcW w:type="dxa" w:w="2320"/>
            <w:tcBorders>
              <w:top w:val="single" w:color="E0E0E0" w:sz="1"/>
              <w:left w:val="single" w:color="E0E0E0" w:sz="1"/>
              <w:bottom w:val="single" w:color="E0E0E0" w:sz="1"/>
              <w:right w:val="single" w:color="E0E0E0" w:sz="1"/>
            </w:tcBorders>
            <w:shd w:fill="DCFCE7" w:val="clear"/>
            <w:tcMar>
              <w:top w:type="dxa" w:w="80"/>
              <w:left w:type="dxa" w:w="130"/>
              <w:bottom w:type="dxa" w:w="80"/>
              <w:right w:type="dxa" w:w="130"/>
            </w:tcMar>
          </w:tcPr>
          <w:p>
            <w:r>
              <w:rPr>
                <w:rFonts w:ascii="Arial" w:cs="Arial" w:eastAsia="Arial" w:hAnsi="Arial"/>
                <w:b/>
                <w:bCs/>
                <w:color w:val="166534"/>
                <w:sz w:val="20"/>
                <w:szCs w:val="20"/>
              </w:rPr>
              <w:t xml:space="preserve">✓  Participates</w:t>
            </w:r>
          </w:p>
        </w:tc>
        <w:tc>
          <w:tcPr>
            <w:tcW w:type="dxa" w:w="2320"/>
            <w:tcBorders>
              <w:top w:val="single" w:color="E0E0E0" w:sz="1"/>
              <w:left w:val="single" w:color="E0E0E0" w:sz="1"/>
              <w:bottom w:val="single" w:color="E0E0E0" w:sz="1"/>
              <w:right w:val="single" w:color="E0E0E0" w:sz="1"/>
            </w:tcBorders>
            <w:shd w:fill="FEE2E2" w:val="clear"/>
            <w:tcMar>
              <w:top w:type="dxa" w:w="80"/>
              <w:left w:type="dxa" w:w="130"/>
              <w:bottom w:type="dxa" w:w="80"/>
              <w:right w:type="dxa" w:w="130"/>
            </w:tcMar>
          </w:tcPr>
          <w:p>
            <w:r>
              <w:rPr>
                <w:rFonts w:ascii="Arial" w:cs="Arial" w:eastAsia="Arial" w:hAnsi="Arial"/>
                <w:b/>
                <w:bCs/>
                <w:color w:val="991B1B"/>
                <w:sz w:val="20"/>
                <w:szCs w:val="20"/>
              </w:rPr>
              <w:t xml:space="preserve">✗  Fixed only</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bCs/>
                <w:color w:val="1A1A1A"/>
                <w:sz w:val="20"/>
                <w:szCs w:val="20"/>
              </w:rPr>
              <w:t xml:space="preserve">Accounting complexity</w:t>
            </w:r>
          </w:p>
        </w:tc>
        <w:tc>
          <w:tcPr>
            <w:tcW w:type="dxa" w:w="2320"/>
            <w:tcBorders>
              <w:top w:val="single" w:color="E0E0E0" w:sz="1"/>
              <w:left w:val="single" w:color="E0E0E0" w:sz="1"/>
              <w:bottom w:val="single" w:color="E0E0E0" w:sz="1"/>
              <w:right w:val="single" w:color="E0E0E0" w:sz="1"/>
            </w:tcBorders>
            <w:shd w:fill="DCFCE7" w:val="clear"/>
            <w:tcMar>
              <w:top w:type="dxa" w:w="80"/>
              <w:left w:type="dxa" w:w="130"/>
              <w:bottom w:type="dxa" w:w="80"/>
              <w:right w:type="dxa" w:w="130"/>
            </w:tcMar>
          </w:tcPr>
          <w:p>
            <w:r>
              <w:rPr>
                <w:rFonts w:ascii="Arial" w:cs="Arial" w:eastAsia="Arial" w:hAnsi="Arial"/>
                <w:b/>
                <w:bCs/>
                <w:color w:val="166534"/>
                <w:sz w:val="20"/>
                <w:szCs w:val="20"/>
              </w:rPr>
              <w:t xml:space="preserve">✓  Minimal</w:t>
            </w:r>
          </w:p>
        </w:tc>
        <w:tc>
          <w:tcPr>
            <w:tcW w:type="dxa" w:w="2320"/>
            <w:tcBorders>
              <w:top w:val="single" w:color="E0E0E0" w:sz="1"/>
              <w:left w:val="single" w:color="E0E0E0" w:sz="1"/>
              <w:bottom w:val="single" w:color="E0E0E0" w:sz="1"/>
              <w:right w:val="single" w:color="E0E0E0" w:sz="1"/>
            </w:tcBorders>
            <w:shd w:fill="FEF3C7" w:val="clear"/>
            <w:tcMar>
              <w:top w:type="dxa" w:w="80"/>
              <w:left w:type="dxa" w:w="130"/>
              <w:bottom w:type="dxa" w:w="80"/>
              <w:right w:type="dxa" w:w="130"/>
            </w:tcMar>
          </w:tcPr>
          <w:p>
            <w:r>
              <w:rPr>
                <w:rFonts w:ascii="Arial" w:cs="Arial" w:eastAsia="Arial" w:hAnsi="Arial"/>
                <w:b/>
                <w:bCs/>
                <w:color w:val="92400E"/>
                <w:sz w:val="20"/>
                <w:szCs w:val="20"/>
              </w:rPr>
              <w:t xml:space="preserve">⚠  Moderate (auditor review)</w:t>
            </w:r>
          </w:p>
        </w:tc>
        <w:tc>
          <w:tcPr>
            <w:tcW w:type="dxa" w:w="2320"/>
            <w:tcBorders>
              <w:top w:val="single" w:color="E0E0E0" w:sz="1"/>
              <w:left w:val="single" w:color="E0E0E0" w:sz="1"/>
              <w:bottom w:val="single" w:color="E0E0E0" w:sz="1"/>
              <w:right w:val="single" w:color="E0E0E0" w:sz="1"/>
            </w:tcBorders>
            <w:shd w:fill="DCFCE7" w:val="clear"/>
            <w:tcMar>
              <w:top w:type="dxa" w:w="80"/>
              <w:left w:type="dxa" w:w="130"/>
              <w:bottom w:type="dxa" w:w="80"/>
              <w:right w:type="dxa" w:w="130"/>
            </w:tcMar>
          </w:tcPr>
          <w:p>
            <w:r>
              <w:rPr>
                <w:rFonts w:ascii="Arial" w:cs="Arial" w:eastAsia="Arial" w:hAnsi="Arial"/>
                <w:b/>
                <w:bCs/>
                <w:color w:val="166534"/>
                <w:sz w:val="20"/>
                <w:szCs w:val="20"/>
              </w:rPr>
              <w:t xml:space="preserve">✓  Minimal</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bCs/>
                <w:color w:val="1A1A1A"/>
                <w:sz w:val="20"/>
                <w:szCs w:val="20"/>
              </w:rPr>
              <w:t xml:space="preserve">Lender covenant risk</w:t>
            </w:r>
          </w:p>
        </w:tc>
        <w:tc>
          <w:tcPr>
            <w:tcW w:type="dxa" w:w="2320"/>
            <w:tcBorders>
              <w:top w:val="single" w:color="E0E0E0" w:sz="1"/>
              <w:left w:val="single" w:color="E0E0E0" w:sz="1"/>
              <w:bottom w:val="single" w:color="E0E0E0" w:sz="1"/>
              <w:right w:val="single" w:color="E0E0E0" w:sz="1"/>
            </w:tcBorders>
            <w:shd w:fill="DCFCE7" w:val="clear"/>
            <w:tcMar>
              <w:top w:type="dxa" w:w="80"/>
              <w:left w:type="dxa" w:w="130"/>
              <w:bottom w:type="dxa" w:w="80"/>
              <w:right w:type="dxa" w:w="130"/>
            </w:tcMar>
          </w:tcPr>
          <w:p>
            <w:r>
              <w:rPr>
                <w:rFonts w:ascii="Arial" w:cs="Arial" w:eastAsia="Arial" w:hAnsi="Arial"/>
                <w:b/>
                <w:bCs/>
                <w:color w:val="166534"/>
                <w:sz w:val="20"/>
                <w:szCs w:val="20"/>
              </w:rPr>
              <w:t xml:space="preserve">✓  Very low</w:t>
            </w:r>
          </w:p>
        </w:tc>
        <w:tc>
          <w:tcPr>
            <w:tcW w:type="dxa" w:w="2320"/>
            <w:tcBorders>
              <w:top w:val="single" w:color="E0E0E0" w:sz="1"/>
              <w:left w:val="single" w:color="E0E0E0" w:sz="1"/>
              <w:bottom w:val="single" w:color="E0E0E0" w:sz="1"/>
              <w:right w:val="single" w:color="E0E0E0" w:sz="1"/>
            </w:tcBorders>
            <w:shd w:fill="FEF3C7" w:val="clear"/>
            <w:tcMar>
              <w:top w:type="dxa" w:w="80"/>
              <w:left w:type="dxa" w:w="130"/>
              <w:bottom w:type="dxa" w:w="80"/>
              <w:right w:type="dxa" w:w="130"/>
            </w:tcMar>
          </w:tcPr>
          <w:p>
            <w:r>
              <w:rPr>
                <w:rFonts w:ascii="Arial" w:cs="Arial" w:eastAsia="Arial" w:hAnsi="Arial"/>
                <w:b/>
                <w:bCs/>
                <w:color w:val="92400E"/>
                <w:sz w:val="20"/>
                <w:szCs w:val="20"/>
              </w:rPr>
              <w:t xml:space="preserve">⚠  Low (cash receipt only)</w:t>
            </w:r>
          </w:p>
        </w:tc>
        <w:tc>
          <w:tcPr>
            <w:tcW w:type="dxa" w:w="2320"/>
            <w:tcBorders>
              <w:top w:val="single" w:color="E0E0E0" w:sz="1"/>
              <w:left w:val="single" w:color="E0E0E0" w:sz="1"/>
              <w:bottom w:val="single" w:color="E0E0E0" w:sz="1"/>
              <w:right w:val="single" w:color="E0E0E0" w:sz="1"/>
            </w:tcBorders>
            <w:shd w:fill="DCFCE7" w:val="clear"/>
            <w:tcMar>
              <w:top w:type="dxa" w:w="80"/>
              <w:left w:type="dxa" w:w="130"/>
              <w:bottom w:type="dxa" w:w="80"/>
              <w:right w:type="dxa" w:w="130"/>
            </w:tcMar>
          </w:tcPr>
          <w:p>
            <w:r>
              <w:rPr>
                <w:rFonts w:ascii="Arial" w:cs="Arial" w:eastAsia="Arial" w:hAnsi="Arial"/>
                <w:b/>
                <w:bCs/>
                <w:color w:val="166534"/>
                <w:sz w:val="20"/>
                <w:szCs w:val="20"/>
              </w:rPr>
              <w:t xml:space="preserve">✓  None (no BTC contact)</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bCs/>
                <w:color w:val="1A1A1A"/>
                <w:sz w:val="20"/>
                <w:szCs w:val="20"/>
              </w:rPr>
              <w:t xml:space="preserve">Typical monthly revenue*</w:t>
            </w:r>
          </w:p>
        </w:tc>
        <w:tc>
          <w:tcPr>
            <w:tcW w:type="dxa" w:w="232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$13,500–$16,500</w:t>
            </w:r>
          </w:p>
        </w:tc>
        <w:tc>
          <w:tcPr>
            <w:tcW w:type="dxa" w:w="232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$7,300–$25,500 (variable)</w:t>
            </w:r>
          </w:p>
        </w:tc>
        <w:tc>
          <w:tcPr>
            <w:tcW w:type="dxa" w:w="232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$8,000–$18,000</w:t>
            </w:r>
          </w:p>
        </w:tc>
      </w:tr>
    </w:tbl>
    <w:p>
      <w:pPr>
        <w:spacing w:before="0" w:after="80"/>
      </w:pPr>
      <w:r>
        <w:t xml:space="preserve"/>
      </w:r>
    </w:p>
    <w:p>
      <w:pPr>
        <w:spacing w:before="0" w:after="40"/>
        <w:jc w:val="left"/>
      </w:pPr>
      <w:r>
        <w:rPr>
          <w:rFonts w:ascii="Arial" w:cs="Arial" w:eastAsia="Arial" w:hAnsi="Arial"/>
          <w:b w:val="false"/>
          <w:bCs w:val="false"/>
          <w:i w:val="false"/>
          <w:iCs w:val="false"/>
          <w:color w:val="4A4A4A"/>
          <w:sz w:val="22"/>
          <w:szCs w:val="22"/>
        </w:rPr>
        <w:t xml:space="preserve">*Based on 250 Mcf/day carve-out. Ranges represent bear-to-bull hashprice scenarios. See WP-2 for detailed payout math.</w:t>
      </w:r>
    </w:p>
    <w:p>
      <w:pPr>
        <w:pStyle w:val="Heading1"/>
        <w:pBdr>
          <w:bottom w:val="single" w:color="F97316" w:sz="3"/>
        </w:pBdr>
        <w:spacing w:before="480" w:after="180"/>
      </w:pPr>
      <w:r>
        <w:rPr>
          <w:rFonts w:ascii="Arial" w:cs="Arial" w:eastAsia="Arial" w:hAnsi="Arial"/>
          <w:b/>
          <w:bCs/>
          <w:color w:val="0A0A0A"/>
          <w:sz w:val="28"/>
          <w:szCs w:val="28"/>
        </w:rPr>
        <w:t xml:space="preserve">3. Tax Treatment: Hosting Revenue vs. Mining Revenue</w:t>
      </w:r>
    </w:p>
    <w:p>
      <w:pPr>
        <w:spacing w:before="0" w:after="180"/>
        <w:jc w:val="left"/>
      </w:pPr>
      <w:r>
        <w:rPr>
          <w:rFonts w:ascii="Arial" w:cs="Arial" w:eastAsia="Arial" w:hAnsi="Arial"/>
          <w:b w:val="false"/>
          <w:bCs w:val="false"/>
          <w:i w:val="false"/>
          <w:iCs w:val="false"/>
          <w:color w:val="4A4A4A"/>
          <w:sz w:val="22"/>
          <w:szCs w:val="22"/>
        </w:rPr>
        <w:t xml:space="preserve">The tax treatment of on-lease Bitcoin operations is one of the most frequently misunderstood aspects of the model. The correct treatment depends entirely on the commercial structure the operator has adopted—and the structures described in Section 2 are specifically designed to produce the most straightforward tax outcome available.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220"/>
        </w:tblCellMar>
      </w:tblPr>
      <w:tblGrid>
        <w:gridCol w:w="9360"/>
      </w:tblGrid>
      <w:tr>
        <w:tc>
          <w:tcPr>
            <w:tcW w:type="dxa" w:w="9360"/>
            <w:tcBorders>
              <w:top w:val="thick" w:color="F97316" w:sz="8"/>
              <w:left w:val="thick" w:color="F97316" w:sz="8"/>
              <w:bottom w:val="single" w:color="E0E0E0" w:sz="1"/>
              <w:right w:val="single" w:color="E0E0E0" w:sz="1"/>
            </w:tcBorders>
            <w:shd w:fill="FFF7ED" w:val="clear"/>
            <w:tcMar>
              <w:top w:type="dxa" w:w="140"/>
              <w:left w:type="dxa" w:w="220"/>
              <w:bottom w:type="dxa" w:w="140"/>
              <w:right w:type="dxa" w:w="220"/>
            </w:tcMar>
          </w:tcPr>
          <w:p>
            <w:pPr>
              <w:spacing w:after="60"/>
            </w:pPr>
            <w:r>
              <w:rPr>
                <w:rFonts w:ascii="Arial" w:cs="Arial" w:eastAsia="Arial" w:hAnsi="Arial"/>
                <w:b/>
                <w:bCs/>
                <w:color w:val="F97316"/>
                <w:sz w:val="20"/>
                <w:szCs w:val="20"/>
              </w:rPr>
              <w:t xml:space="preserve">Disclaimer</w:t>
            </w:r>
          </w:p>
          <w:p>
            <w:pPr>
              <w:spacing w:after="0"/>
            </w:pPr>
            <w:r>
              <w:rPr>
                <w:rFonts w:ascii="Arial" w:cs="Arial" w:eastAsia="Arial" w:hAnsi="Arial"/>
                <w:color w:val="1A1A1A"/>
                <w:sz w:val="21"/>
                <w:szCs w:val="21"/>
              </w:rPr>
              <w:t xml:space="preserve">The following is a general summary of current federal income tax principles as they may apply to these structures. It does not constitute tax advice. Tax treatment depends on specific facts, the operator’s entity structure, applicable state tax law, and future regulatory guidance. Operators should consult qualified tax counsel before implementing any structure.</w:t>
            </w:r>
          </w:p>
        </w:tc>
      </w:tr>
    </w:tbl>
    <w:p>
      <w:pPr>
        <w:spacing w:before="0" w:after="120"/>
      </w:pPr>
      <w:r>
        <w:t xml:space="preserve"/>
      </w:r>
    </w:p>
    <w:p>
      <w:pPr>
        <w:pStyle w:val="Heading2"/>
        <w:spacing w:before="320" w:after="120"/>
      </w:pPr>
      <w:r>
        <w:rPr>
          <w:rFonts w:ascii="Arial" w:cs="Arial" w:eastAsia="Arial" w:hAnsi="Arial"/>
          <w:b/>
          <w:bCs/>
          <w:color w:val="1A1A1A"/>
          <w:sz w:val="24"/>
          <w:szCs w:val="24"/>
        </w:rPr>
        <w:t xml:space="preserve">3.1 Hosting Revenue: Tax Treatment</w:t>
      </w:r>
    </w:p>
    <w:p>
      <w:pPr>
        <w:spacing w:before="0" w:after="180"/>
        <w:jc w:val="left"/>
      </w:pPr>
      <w:r>
        <w:rPr>
          <w:rFonts w:ascii="Arial" w:cs="Arial" w:eastAsia="Arial" w:hAnsi="Arial"/>
          <w:b w:val="false"/>
          <w:bCs w:val="false"/>
          <w:i w:val="false"/>
          <w:iCs w:val="false"/>
          <w:color w:val="4A4A4A"/>
          <w:sz w:val="22"/>
          <w:szCs w:val="22"/>
        </w:rPr>
        <w:t xml:space="preserve">When an operator receives payment under a hosting or gas supply agreement (Structures A and C), the federal income tax treatment is straightforward:</w:t>
      </w:r>
    </w:p>
    <w:p>
      <w:pPr>
        <w:pStyle w:val="ListParagraph"/>
        <w:numPr>
          <w:ilvl w:val="0"/>
          <w:numId w:val="2"/>
        </w:numPr>
        <w:spacing w:after="120"/>
      </w:pPr>
      <w:r>
        <w:rPr>
          <w:rFonts w:ascii="Arial" w:cs="Arial" w:eastAsia="Arial" w:hAnsi="Arial"/>
          <w:b/>
          <w:bCs/>
          <w:color w:val="1A1A1A"/>
          <w:sz w:val="22"/>
          <w:szCs w:val="22"/>
        </w:rPr>
        <w:t xml:space="preserve">Ordinary income from the operator’s oil and gas business. The hosting or gas supply payment is treated as revenue from the sale of gas or from providing site services—the same character as any other gas marketing revenue.</w:t>
      </w:r>
      <w:r>
        <w:rPr>
          <w:rFonts w:ascii="Arial" w:cs="Arial" w:eastAsia="Arial" w:hAnsi="Arial"/>
          <w:color w:val="4A4A4A"/>
          <w:sz w:val="22"/>
          <w:szCs w:val="22"/>
        </w:rPr>
        <w:t xml:space="preserve">Character of income: </w:t>
      </w:r>
    </w:p>
    <w:p>
      <w:pPr>
        <w:pStyle w:val="ListParagraph"/>
        <w:numPr>
          <w:ilvl w:val="0"/>
          <w:numId w:val="2"/>
        </w:numPr>
        <w:spacing w:after="120"/>
      </w:pPr>
      <w:r>
        <w:rPr>
          <w:rFonts w:ascii="Arial" w:cs="Arial" w:eastAsia="Arial" w:hAnsi="Arial"/>
          <w:b/>
          <w:bCs/>
          <w:color w:val="1A1A1A"/>
          <w:sz w:val="22"/>
          <w:szCs w:val="22"/>
        </w:rPr>
        <w:t xml:space="preserve">Monthly, upon receipt or accrual in accordance with the operator’s accounting method. No deferral issues, no mark-to-market requirement.</w:t>
      </w:r>
      <w:r>
        <w:rPr>
          <w:rFonts w:ascii="Arial" w:cs="Arial" w:eastAsia="Arial" w:hAnsi="Arial"/>
          <w:color w:val="4A4A4A"/>
          <w:sz w:val="22"/>
          <w:szCs w:val="22"/>
        </w:rPr>
        <w:t xml:space="preserve">Recognition timing: </w:t>
      </w:r>
    </w:p>
    <w:p>
      <w:pPr>
        <w:pStyle w:val="ListParagraph"/>
        <w:numPr>
          <w:ilvl w:val="0"/>
          <w:numId w:val="2"/>
        </w:numPr>
        <w:spacing w:after="120"/>
      </w:pPr>
      <w:r>
        <w:rPr>
          <w:rFonts w:ascii="Arial" w:cs="Arial" w:eastAsia="Arial" w:hAnsi="Arial"/>
          <w:b/>
          <w:bCs/>
          <w:color w:val="1A1A1A"/>
          <w:sz w:val="22"/>
          <w:szCs w:val="22"/>
        </w:rPr>
        <w:t xml:space="preserve">Gas consumed on the lease is not sold to a third party in the conventional sense; however, operators should confirm with tax counsel whether percentage depletion applies to gas used on the lease. Cost depletion is generally available on the producing wells.</w:t>
      </w:r>
      <w:r>
        <w:rPr>
          <w:rFonts w:ascii="Arial" w:cs="Arial" w:eastAsia="Arial" w:hAnsi="Arial"/>
          <w:color w:val="4A4A4A"/>
          <w:sz w:val="22"/>
          <w:szCs w:val="22"/>
        </w:rPr>
        <w:t xml:space="preserve">Depletion treatment: </w:t>
      </w:r>
    </w:p>
    <w:p>
      <w:pPr>
        <w:pStyle w:val="ListParagraph"/>
        <w:numPr>
          <w:ilvl w:val="0"/>
          <w:numId w:val="2"/>
        </w:numPr>
        <w:spacing w:after="120"/>
      </w:pPr>
      <w:r>
        <w:rPr>
          <w:rFonts w:ascii="Arial" w:cs="Arial" w:eastAsia="Arial" w:hAnsi="Arial"/>
          <w:b/>
          <w:bCs/>
          <w:color w:val="1A1A1A"/>
          <w:sz w:val="22"/>
          <w:szCs w:val="22"/>
        </w:rPr>
        <w:t xml:space="preserve">Not applicable to corporate or partnership entities in the ordinary course. Pass-through entities should confirm treatment with their tax advisor.</w:t>
      </w:r>
      <w:r>
        <w:rPr>
          <w:rFonts w:ascii="Arial" w:cs="Arial" w:eastAsia="Arial" w:hAnsi="Arial"/>
          <w:color w:val="4A4A4A"/>
          <w:sz w:val="22"/>
          <w:szCs w:val="22"/>
        </w:rPr>
        <w:t xml:space="preserve">Self-employment tax: </w:t>
      </w:r>
    </w:p>
    <w:p>
      <w:pPr>
        <w:pStyle w:val="ListParagraph"/>
        <w:numPr>
          <w:ilvl w:val="0"/>
          <w:numId w:val="2"/>
        </w:numPr>
        <w:spacing w:after="120"/>
      </w:pPr>
      <w:r>
        <w:rPr>
          <w:rFonts w:ascii="Arial" w:cs="Arial" w:eastAsia="Arial" w:hAnsi="Arial"/>
          <w:b/>
          <w:bCs/>
          <w:color w:val="1A1A1A"/>
          <w:sz w:val="22"/>
          <w:szCs w:val="22"/>
        </w:rPr>
        <w:t xml:space="preserve">None. The operator does not receive, hold, or dispose of any digital asset. No Form 1099-DA, no Schedule D digital asset disclosure, no FBAR obligation.</w:t>
      </w:r>
      <w:r>
        <w:rPr>
          <w:rFonts w:ascii="Arial" w:cs="Arial" w:eastAsia="Arial" w:hAnsi="Arial"/>
          <w:color w:val="4A4A4A"/>
          <w:sz w:val="22"/>
          <w:szCs w:val="22"/>
        </w:rPr>
        <w:t xml:space="preserve">Digital asset reporting: </w:t>
      </w:r>
    </w:p>
    <w:p>
      <w:pPr>
        <w:spacing w:before="0" w:after="180"/>
        <w:jc w:val="left"/>
      </w:pPr>
      <w:r>
        <w:rPr>
          <w:rFonts w:ascii="Arial" w:cs="Arial" w:eastAsia="Arial" w:hAnsi="Arial"/>
          <w:b w:val="false"/>
          <w:bCs w:val="false"/>
          <w:i w:val="false"/>
          <w:iCs w:val="false"/>
          <w:color w:val="4A4A4A"/>
          <w:sz w:val="22"/>
          <w:szCs w:val="22"/>
        </w:rPr>
        <w:t xml:space="preserve">The hosting structure produces tax outcomes that are entirely within the scope of existing O&amp;G tax practice. No new IRS guidance, no novel positions, no digital asset expertise required.</w:t>
      </w:r>
    </w:p>
    <w:p>
      <w:pPr>
        <w:spacing w:before="0" w:after="120"/>
      </w:pPr>
      <w:r>
        <w:t xml:space="preserve"/>
      </w:r>
    </w:p>
    <w:p>
      <w:pPr>
        <w:pStyle w:val="Heading2"/>
        <w:spacing w:before="320" w:after="120"/>
      </w:pPr>
      <w:r>
        <w:rPr>
          <w:rFonts w:ascii="Arial" w:cs="Arial" w:eastAsia="Arial" w:hAnsi="Arial"/>
          <w:b/>
          <w:bCs/>
          <w:color w:val="1A1A1A"/>
          <w:sz w:val="24"/>
          <w:szCs w:val="24"/>
        </w:rPr>
        <w:t xml:space="preserve">3.2 Mining Revenue: Tax Treatment (For Reference)</w:t>
      </w:r>
    </w:p>
    <w:p>
      <w:pPr>
        <w:spacing w:before="0" w:after="180"/>
        <w:jc w:val="left"/>
      </w:pPr>
      <w:r>
        <w:rPr>
          <w:rFonts w:ascii="Arial" w:cs="Arial" w:eastAsia="Arial" w:hAnsi="Arial"/>
          <w:b w:val="false"/>
          <w:bCs w:val="false"/>
          <w:i w:val="false"/>
          <w:iCs w:val="false"/>
          <w:color w:val="4A4A4A"/>
          <w:sz w:val="22"/>
          <w:szCs w:val="22"/>
        </w:rPr>
        <w:t xml:space="preserve">For operators who choose Structure B (USD-converted revenue share) or who consider operating a mining arrangement directly, the following summarizes current IRS guidance on Bitcoin mining income. This section is provided for reference and comparison—it does not apply to operators using Structures A or 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0E0E0" w:sz="1"/>
              <w:left w:val="single" w:color="E0E0E0" w:sz="1"/>
              <w:bottom w:val="single" w:color="E0E0E0" w:sz="1"/>
              <w:right w:val="single" w:color="E0E0E0" w:sz="1"/>
            </w:tcBorders>
            <w:shd w:fill="1E3A5F" w:val="clear"/>
            <w:tcMar>
              <w:top w:type="dxa" w:w="80"/>
              <w:left w:type="dxa" w:w="130"/>
              <w:bottom w:type="dxa" w:w="80"/>
              <w:right w:type="dxa" w:w="130"/>
            </w:tcMar>
          </w:tcPr>
          <w:p>
            <w:pPr>
              <w:jc w:val="left"/>
            </w:pPr>
            <w:r>
              <w:rPr>
                <w:rFonts w:ascii="Arial" w:cs="Arial" w:eastAsia="Arial" w:hAnsi="Arial"/>
                <w:b/>
                <w:bCs/>
                <w:color w:val="FFFFFF"/>
                <w:sz w:val="20"/>
                <w:szCs w:val="20"/>
              </w:rPr>
              <w:t xml:space="preserve">Tax Question</w:t>
            </w:r>
          </w:p>
        </w:tc>
        <w:tc>
          <w:tcPr>
            <w:tcW w:type="dxa" w:w="3280"/>
            <w:tcBorders>
              <w:top w:val="single" w:color="E0E0E0" w:sz="1"/>
              <w:left w:val="single" w:color="E0E0E0" w:sz="1"/>
              <w:bottom w:val="single" w:color="E0E0E0" w:sz="1"/>
              <w:right w:val="single" w:color="E0E0E0" w:sz="1"/>
            </w:tcBorders>
            <w:shd w:fill="1E3A5F" w:val="clear"/>
            <w:tcMar>
              <w:top w:type="dxa" w:w="80"/>
              <w:left w:type="dxa" w:w="130"/>
              <w:bottom w:type="dxa" w:w="80"/>
              <w:right w:type="dxa" w:w="130"/>
            </w:tcMar>
          </w:tcPr>
          <w:p>
            <w:pPr>
              <w:jc w:val="left"/>
            </w:pPr>
            <w:r>
              <w:rPr>
                <w:rFonts w:ascii="Arial" w:cs="Arial" w:eastAsia="Arial" w:hAnsi="Arial"/>
                <w:b/>
                <w:bCs/>
                <w:color w:val="FFFFFF"/>
                <w:sz w:val="20"/>
                <w:szCs w:val="20"/>
              </w:rPr>
              <w:t xml:space="preserve">Hosting / Gas Sale (Structures A &amp; C)</w:t>
            </w:r>
          </w:p>
        </w:tc>
        <w:tc>
          <w:tcPr>
            <w:tcW w:type="dxa" w:w="3280"/>
            <w:tcBorders>
              <w:top w:val="single" w:color="E0E0E0" w:sz="1"/>
              <w:left w:val="single" w:color="E0E0E0" w:sz="1"/>
              <w:bottom w:val="single" w:color="E0E0E0" w:sz="1"/>
              <w:right w:val="single" w:color="E0E0E0" w:sz="1"/>
            </w:tcBorders>
            <w:shd w:fill="1E3A5F" w:val="clear"/>
            <w:tcMar>
              <w:top w:type="dxa" w:w="80"/>
              <w:left w:type="dxa" w:w="130"/>
              <w:bottom w:type="dxa" w:w="80"/>
              <w:right w:type="dxa" w:w="130"/>
            </w:tcMar>
          </w:tcPr>
          <w:p>
            <w:pPr>
              <w:jc w:val="left"/>
            </w:pPr>
            <w:r>
              <w:rPr>
                <w:rFonts w:ascii="Arial" w:cs="Arial" w:eastAsia="Arial" w:hAnsi="Arial"/>
                <w:b/>
                <w:bCs/>
                <w:color w:val="FFFFFF"/>
                <w:sz w:val="20"/>
                <w:szCs w:val="20"/>
              </w:rPr>
              <w:t xml:space="preserve">BTC Mining Revenue (Direct or Unconverted Rev Share)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When is income recognized?</w:t>
            </w:r>
          </w:p>
        </w:tc>
        <w:tc>
          <w:tcPr>
            <w:tcW w:type="dxa" w:w="328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Monthly on cash receipt or accrual. No uncertainty.</w:t>
            </w:r>
          </w:p>
        </w:tc>
        <w:tc>
          <w:tcPr>
            <w:tcW w:type="dxa" w:w="328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At time BTC is received (mined or allocated). FMV at that date is ordinary income under Rev. Rul. 2023-14.</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Character of income</w:t>
            </w:r>
          </w:p>
        </w:tc>
        <w:tc>
          <w:tcPr>
            <w:tcW w:type="dxa" w:w="328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Ordinary income from gas/O&amp;G operations.</w:t>
            </w:r>
          </w:p>
        </w:tc>
        <w:tc>
          <w:tcPr>
            <w:tcW w:type="dxa" w:w="328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Ordinary income at receipt. Capital gain/loss on subsequent disposition if BTC is held.</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Mark-to-market treatment</w:t>
            </w:r>
          </w:p>
        </w:tc>
        <w:tc>
          <w:tcPr>
            <w:tcW w:type="dxa" w:w="3280"/>
            <w:tcBorders>
              <w:top w:val="single" w:color="E0E0E0" w:sz="1"/>
              <w:left w:val="single" w:color="E0E0E0" w:sz="1"/>
              <w:bottom w:val="single" w:color="E0E0E0" w:sz="1"/>
              <w:right w:val="single" w:color="E0E0E0" w:sz="1"/>
            </w:tcBorders>
            <w:shd w:fill="DCFCE7" w:val="clear"/>
            <w:tcMar>
              <w:top w:type="dxa" w:w="80"/>
              <w:left w:type="dxa" w:w="130"/>
              <w:bottom w:type="dxa" w:w="80"/>
              <w:right w:type="dxa" w:w="130"/>
            </w:tcMar>
          </w:tcPr>
          <w:p>
            <w:r>
              <w:rPr>
                <w:rFonts w:ascii="Arial" w:cs="Arial" w:eastAsia="Arial" w:hAnsi="Arial"/>
                <w:b/>
                <w:bCs/>
                <w:color w:val="166534"/>
                <w:sz w:val="20"/>
                <w:szCs w:val="20"/>
              </w:rPr>
              <w:t xml:space="preserve">✓  None required.</w:t>
            </w:r>
          </w:p>
        </w:tc>
        <w:tc>
          <w:tcPr>
            <w:tcW w:type="dxa" w:w="328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Not required for non-dealer taxpayers; BTC is treated as property, not a security.</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Digital asset reporting (Form 1099-DA)</w:t>
            </w:r>
          </w:p>
        </w:tc>
        <w:tc>
          <w:tcPr>
            <w:tcW w:type="dxa" w:w="3280"/>
            <w:tcBorders>
              <w:top w:val="single" w:color="E0E0E0" w:sz="1"/>
              <w:left w:val="single" w:color="E0E0E0" w:sz="1"/>
              <w:bottom w:val="single" w:color="E0E0E0" w:sz="1"/>
              <w:right w:val="single" w:color="E0E0E0" w:sz="1"/>
            </w:tcBorders>
            <w:shd w:fill="DCFCE7" w:val="clear"/>
            <w:tcMar>
              <w:top w:type="dxa" w:w="80"/>
              <w:left w:type="dxa" w:w="130"/>
              <w:bottom w:type="dxa" w:w="80"/>
              <w:right w:type="dxa" w:w="130"/>
            </w:tcMar>
          </w:tcPr>
          <w:p>
            <w:r>
              <w:rPr>
                <w:rFonts w:ascii="Arial" w:cs="Arial" w:eastAsia="Arial" w:hAnsi="Arial"/>
                <w:b/>
                <w:bCs/>
                <w:color w:val="166534"/>
                <w:sz w:val="20"/>
                <w:szCs w:val="20"/>
              </w:rPr>
              <w:t xml:space="preserve">✓  Not applicable.</w:t>
            </w:r>
          </w:p>
        </w:tc>
        <w:tc>
          <w:tcPr>
            <w:tcW w:type="dxa" w:w="328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Required from exchanges and certain brokers beginning 2025. Self-mined BTC from pool payouts may trigger reporting depending on pool structure.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Excise tax (Digital Asset Mining Energy Tax)</w:t>
            </w:r>
          </w:p>
        </w:tc>
        <w:tc>
          <w:tcPr>
            <w:tcW w:type="dxa" w:w="3280"/>
            <w:tcBorders>
              <w:top w:val="single" w:color="E0E0E0" w:sz="1"/>
              <w:left w:val="single" w:color="E0E0E0" w:sz="1"/>
              <w:bottom w:val="single" w:color="E0E0E0" w:sz="1"/>
              <w:right w:val="single" w:color="E0E0E0" w:sz="1"/>
            </w:tcBorders>
            <w:shd w:fill="DCFCE7" w:val="clear"/>
            <w:tcMar>
              <w:top w:type="dxa" w:w="80"/>
              <w:left w:type="dxa" w:w="130"/>
              <w:bottom w:type="dxa" w:w="80"/>
              <w:right w:type="dxa" w:w="130"/>
            </w:tcMar>
          </w:tcPr>
          <w:p>
            <w:r>
              <w:rPr>
                <w:rFonts w:ascii="Arial" w:cs="Arial" w:eastAsia="Arial" w:hAnsi="Arial"/>
                <w:b/>
                <w:bCs/>
                <w:color w:val="166534"/>
                <w:sz w:val="20"/>
                <w:szCs w:val="20"/>
              </w:rPr>
              <w:t xml:space="preserve">✓  Not applicable to gas hosting structures.</w:t>
            </w:r>
          </w:p>
        </w:tc>
        <w:tc>
          <w:tcPr>
            <w:tcW w:type="dxa" w:w="328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Proposed legislation (DAME Act) would impose a 30% excise on electricity costs for digital asset mining. Not enacted as of publication; monitor for future developments.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State income tax</w:t>
            </w:r>
          </w:p>
        </w:tc>
        <w:tc>
          <w:tcPr>
            <w:tcW w:type="dxa" w:w="328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Ordinary income in state(s) of operation. Same as other O&amp;G revenue.</w:t>
            </w:r>
          </w:p>
        </w:tc>
        <w:tc>
          <w:tcPr>
            <w:tcW w:type="dxa" w:w="328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Treatment varies by state. Texas has no corporate income tax; Colorado, North Dakota, New Mexico follow federal treatment generally.</w:t>
            </w:r>
          </w:p>
        </w:tc>
      </w:tr>
    </w:tbl>
    <w:p>
      <w:pPr>
        <w:spacing w:before="0" w:after="120"/>
      </w:pPr>
      <w:r>
        <w:t xml:space="preserve"/>
      </w:r>
    </w:p>
    <w:p>
      <w:pPr>
        <w:spacing w:before="0" w:after="180"/>
        <w:jc w:val="left"/>
      </w:pPr>
      <w:r>
        <w:rPr>
          <w:rFonts w:ascii="Arial" w:cs="Arial" w:eastAsia="Arial" w:hAnsi="Arial"/>
          <w:b w:val="false"/>
          <w:bCs w:val="false"/>
          <w:i w:val="false"/>
          <w:iCs w:val="false"/>
          <w:color w:val="4A4A4A"/>
          <w:sz w:val="22"/>
          <w:szCs w:val="22"/>
        </w:rPr>
        <w:t xml:space="preserve">For operators using the USD-converted revenue share (Structure B), tax counsel should confirm whether the USD payment represents the tax recognition event (which would simplify reporting significantly) or whether income is triggered at BTC allocation with the USD conversion being a separate disposition. This determination depends on the specific structure of the conversion arrangement and IRS guidance developments.</w:t>
      </w:r>
    </w:p>
    <w:p>
      <w:pPr>
        <w:pStyle w:val="Heading1"/>
        <w:pBdr>
          <w:bottom w:val="single" w:color="F97316" w:sz="3"/>
        </w:pBdr>
        <w:spacing w:before="480" w:after="180"/>
      </w:pPr>
      <w:r>
        <w:rPr>
          <w:rFonts w:ascii="Arial" w:cs="Arial" w:eastAsia="Arial" w:hAnsi="Arial"/>
          <w:b/>
          <w:bCs/>
          <w:color w:val="0A0A0A"/>
          <w:sz w:val="28"/>
          <w:szCs w:val="28"/>
        </w:rPr>
        <w:t xml:space="preserve">4. Lender Covenant and Credit Agreement Considerations</w:t>
      </w:r>
    </w:p>
    <w:p>
      <w:pPr>
        <w:spacing w:before="0" w:after="180"/>
        <w:jc w:val="left"/>
      </w:pPr>
      <w:r>
        <w:rPr>
          <w:rFonts w:ascii="Arial" w:cs="Arial" w:eastAsia="Arial" w:hAnsi="Arial"/>
          <w:b w:val="false"/>
          <w:bCs w:val="false"/>
          <w:i w:val="false"/>
          <w:iCs w:val="false"/>
          <w:color w:val="4A4A4A"/>
          <w:sz w:val="22"/>
          <w:szCs w:val="22"/>
        </w:rPr>
        <w:t xml:space="preserve">Operators with outstanding credit facilities, revolving credit agreements, or public debt should review their existing credit documentation before executing any on-lease arrangement. While most standard E&amp;P credit agreements do not explicitly address Bitcoin or digital assets, several common covenant types may be relevant.</w:t>
      </w:r>
    </w:p>
    <w:p>
      <w:pPr>
        <w:spacing w:before="0" w:after="80"/>
      </w:pPr>
      <w:r>
        <w:t xml:space="preserve"/>
      </w:r>
    </w:p>
    <w:p>
      <w:pPr>
        <w:pStyle w:val="Heading2"/>
        <w:spacing w:before="320" w:after="120"/>
      </w:pPr>
      <w:r>
        <w:rPr>
          <w:rFonts w:ascii="Arial" w:cs="Arial" w:eastAsia="Arial" w:hAnsi="Arial"/>
          <w:b/>
          <w:bCs/>
          <w:color w:val="1A1A1A"/>
          <w:sz w:val="24"/>
          <w:szCs w:val="24"/>
        </w:rPr>
        <w:t xml:space="preserve">4.1 Covenant Types to Review</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E0E0E0" w:sz="1"/>
              <w:left w:val="single" w:color="E0E0E0" w:sz="1"/>
              <w:bottom w:val="single" w:color="E0E0E0" w:sz="1"/>
              <w:right w:val="single" w:color="E0E0E0" w:sz="1"/>
            </w:tcBorders>
            <w:shd w:fill="1E3A5F" w:val="clear"/>
            <w:tcMar>
              <w:top w:type="dxa" w:w="80"/>
              <w:left w:type="dxa" w:w="130"/>
              <w:bottom w:type="dxa" w:w="80"/>
              <w:right w:type="dxa" w:w="130"/>
            </w:tcMar>
          </w:tcPr>
          <w:p>
            <w:pPr>
              <w:jc w:val="left"/>
            </w:pPr>
            <w:r>
              <w:rPr>
                <w:rFonts w:ascii="Arial" w:cs="Arial" w:eastAsia="Arial" w:hAnsi="Arial"/>
                <w:b/>
                <w:bCs/>
                <w:color w:val="FFFFFF"/>
                <w:sz w:val="20"/>
                <w:szCs w:val="20"/>
              </w:rPr>
              <w:t xml:space="preserve">Covenant Type</w:t>
            </w:r>
          </w:p>
        </w:tc>
        <w:tc>
          <w:tcPr>
            <w:tcW w:type="dxa" w:w="3200"/>
            <w:tcBorders>
              <w:top w:val="single" w:color="E0E0E0" w:sz="1"/>
              <w:left w:val="single" w:color="E0E0E0" w:sz="1"/>
              <w:bottom w:val="single" w:color="E0E0E0" w:sz="1"/>
              <w:right w:val="single" w:color="E0E0E0" w:sz="1"/>
            </w:tcBorders>
            <w:shd w:fill="1E3A5F" w:val="clear"/>
            <w:tcMar>
              <w:top w:type="dxa" w:w="80"/>
              <w:left w:type="dxa" w:w="130"/>
              <w:bottom w:type="dxa" w:w="80"/>
              <w:right w:type="dxa" w:w="130"/>
            </w:tcMar>
          </w:tcPr>
          <w:p>
            <w:pPr>
              <w:jc w:val="left"/>
            </w:pPr>
            <w:r>
              <w:rPr>
                <w:rFonts w:ascii="Arial" w:cs="Arial" w:eastAsia="Arial" w:hAnsi="Arial"/>
                <w:b/>
                <w:bCs/>
                <w:color w:val="FFFFFF"/>
                <w:sz w:val="20"/>
                <w:szCs w:val="20"/>
              </w:rPr>
              <w:t xml:space="preserve">Potential Issue</w:t>
            </w:r>
          </w:p>
        </w:tc>
        <w:tc>
          <w:tcPr>
            <w:tcW w:type="dxa" w:w="3760"/>
            <w:tcBorders>
              <w:top w:val="single" w:color="E0E0E0" w:sz="1"/>
              <w:left w:val="single" w:color="E0E0E0" w:sz="1"/>
              <w:bottom w:val="single" w:color="E0E0E0" w:sz="1"/>
              <w:right w:val="single" w:color="E0E0E0" w:sz="1"/>
            </w:tcBorders>
            <w:shd w:fill="1E3A5F" w:val="clear"/>
            <w:tcMar>
              <w:top w:type="dxa" w:w="80"/>
              <w:left w:type="dxa" w:w="130"/>
              <w:bottom w:type="dxa" w:w="80"/>
              <w:right w:type="dxa" w:w="130"/>
            </w:tcMar>
          </w:tcPr>
          <w:p>
            <w:pPr>
              <w:jc w:val="left"/>
            </w:pPr>
            <w:r>
              <w:rPr>
                <w:rFonts w:ascii="Arial" w:cs="Arial" w:eastAsia="Arial" w:hAnsi="Arial"/>
                <w:b/>
                <w:bCs/>
                <w:color w:val="FFFFFF"/>
                <w:sz w:val="20"/>
                <w:szCs w:val="20"/>
              </w:rPr>
              <w:t xml:space="preserve">Resolution Under USD Structures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Investment restrictions / permitted investments</w:t>
            </w:r>
          </w:p>
        </w:tc>
        <w:tc>
          <w:tcPr>
            <w:tcW w:type="dxa" w:w="32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Credit agreements often restrict investments in assets outside the ordinary course. Bitcoin holdings may be classified as a non-permitted investment.</w:t>
            </w:r>
          </w:p>
        </w:tc>
        <w:tc>
          <w:tcPr>
            <w:tcW w:type="dxa" w:w="376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Under Structures A and C, operator holds no Bitcoin. No investment in digital assets. Hosting fee or gas sale is ordinary course revenue, not an investment.</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Asset restrictions / use of assets</w:t>
            </w:r>
          </w:p>
        </w:tc>
        <w:tc>
          <w:tcPr>
            <w:tcW w:type="dxa" w:w="320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Restrictions on using company assets for purposes outside E&amp;P operations. On-lease gas could be interpreted as a company asset being diverted.</w:t>
            </w:r>
          </w:p>
        </w:tc>
        <w:tc>
          <w:tcPr>
            <w:tcW w:type="dxa" w:w="376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On-lease gas monetization is an extension of the operator’s production operations. Counsel should confirm gas consumption rights are within the ‘ordinary course’ carve-out. Most agreements have an explicit operational gas exception.</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Speculative transaction prohibition</w:t>
            </w:r>
          </w:p>
        </w:tc>
        <w:tc>
          <w:tcPr>
            <w:tcW w:type="dxa" w:w="32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Some credit agreements prohibit ‘speculative’ transactions. Bitcoin-related arrangements may be characterized as speculative by a conservative lender.</w:t>
            </w:r>
          </w:p>
        </w:tc>
        <w:tc>
          <w:tcPr>
            <w:tcW w:type="dxa" w:w="376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Structure C entirely eliminates this risk: operator has no economic interest in Bitcoin, receives only cash. Structure A eliminates BTC exposure; the gas sale itself is non-speculative.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Borrowing base / reserve reporting</w:t>
            </w:r>
          </w:p>
        </w:tc>
        <w:tc>
          <w:tcPr>
            <w:tcW w:type="dxa" w:w="320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Reserve engineers and lenders may ask whether gas volumes being diverted to on-lease use affect the borrowing base calculation.</w:t>
            </w:r>
          </w:p>
        </w:tc>
        <w:tc>
          <w:tcPr>
            <w:tcW w:type="dxa" w:w="376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Gas consumed on-lease reduces gas available for sale. Discuss with reserve engineers whether this requires a borrowing base revision. Typically immaterial for small carve-out volumes.</w:t>
            </w:r>
          </w:p>
        </w:tc>
      </w:tr>
    </w:tbl>
    <w:p>
      <w:pPr>
        <w:spacing w:before="0" w:after="120"/>
      </w:pPr>
      <w:r>
        <w:t xml:space="preserve"/>
      </w:r>
    </w:p>
    <w:p>
      <w:pPr>
        <w:pStyle w:val="Heading2"/>
        <w:spacing w:before="320" w:after="120"/>
      </w:pPr>
      <w:r>
        <w:rPr>
          <w:rFonts w:ascii="Arial" w:cs="Arial" w:eastAsia="Arial" w:hAnsi="Arial"/>
          <w:b/>
          <w:bCs/>
          <w:color w:val="1A1A1A"/>
          <w:sz w:val="24"/>
          <w:szCs w:val="24"/>
        </w:rPr>
        <w:t xml:space="preserve">4.2 Lender Communication Strategy</w:t>
      </w:r>
    </w:p>
    <w:p>
      <w:pPr>
        <w:spacing w:before="0" w:after="180"/>
        <w:jc w:val="left"/>
      </w:pPr>
      <w:r>
        <w:rPr>
          <w:rFonts w:ascii="Arial" w:cs="Arial" w:eastAsia="Arial" w:hAnsi="Arial"/>
          <w:b w:val="false"/>
          <w:bCs w:val="false"/>
          <w:i w:val="false"/>
          <w:iCs w:val="false"/>
          <w:color w:val="4A4A4A"/>
          <w:sz w:val="22"/>
          <w:szCs w:val="22"/>
        </w:rPr>
        <w:t xml:space="preserve">In MCF.digital’s experience with operator transactions, lenders who are approached proactively and transparently about an on-lease arrangement—particularly when the structure involves no Bitcoin on the operator’s balance sheet—rarely object. The conversation is easiest when framed as:</w:t>
      </w:r>
    </w:p>
    <w:p>
      <w:pPr>
        <w:pStyle w:val="ListParagraph"/>
        <w:numPr>
          <w:ilvl w:val="0"/>
          <w:numId w:val="2"/>
        </w:numPr>
        <w:spacing w:after="120"/>
      </w:pPr>
      <w:r>
        <w:rPr>
          <w:rFonts w:ascii="Arial" w:cs="Arial" w:eastAsia="Arial" w:hAnsi="Arial"/>
          <w:color w:val="4A4A4A"/>
          <w:sz w:val="22"/>
          <w:szCs w:val="22"/>
        </w:rPr>
        <w:t xml:space="preserve">"We are monetizing gas that would otherwise be flared, through a hosting arrangement that pays us a fixed USD fee per Mcf consumed. No digital assets are involved from our perspective."</w:t>
      </w:r>
    </w:p>
    <w:p>
      <w:pPr>
        <w:pStyle w:val="ListParagraph"/>
        <w:numPr>
          <w:ilvl w:val="0"/>
          <w:numId w:val="2"/>
        </w:numPr>
        <w:spacing w:after="120"/>
      </w:pPr>
      <w:r>
        <w:rPr>
          <w:rFonts w:ascii="Arial" w:cs="Arial" w:eastAsia="Arial" w:hAnsi="Arial"/>
          <w:color w:val="4A4A4A"/>
          <w:sz w:val="22"/>
          <w:szCs w:val="22"/>
        </w:rPr>
        <w:t xml:space="preserve">Provide the lender with the executed gas hosting agreement or power hosting agreement. The documentation should be facially consistent with an ordinary gas sale or site services arrangement.</w:t>
      </w:r>
    </w:p>
    <w:p>
      <w:pPr>
        <w:pStyle w:val="ListParagraph"/>
        <w:numPr>
          <w:ilvl w:val="0"/>
          <w:numId w:val="2"/>
        </w:numPr>
        <w:spacing w:after="120"/>
      </w:pPr>
      <w:r>
        <w:rPr>
          <w:rFonts w:ascii="Arial" w:cs="Arial" w:eastAsia="Arial" w:hAnsi="Arial"/>
          <w:color w:val="4A4A4A"/>
          <w:sz w:val="22"/>
          <w:szCs w:val="22"/>
        </w:rPr>
        <w:t xml:space="preserve">If the lender requires a formal waiver or consent letter, budget 30–60 days for this process. Lenders who have seen similar arrangements (particularly in the Permian and Bakken, where they are becoming common) typically move faster.</w:t>
      </w:r>
    </w:p>
    <w:p>
      <w:pPr>
        <w:spacing w:before="0" w:after="180"/>
        <w:jc w:val="left"/>
      </w:pPr>
      <w:r>
        <w:rPr>
          <w:rFonts w:ascii="Arial" w:cs="Arial" w:eastAsia="Arial" w:hAnsi="Arial"/>
          <w:b w:val="false"/>
          <w:bCs w:val="false"/>
          <w:i w:val="false"/>
          <w:iCs w:val="false"/>
          <w:color w:val="4A4A4A"/>
          <w:sz w:val="22"/>
          <w:szCs w:val="22"/>
        </w:rPr>
        <w:t xml:space="preserve">Operators with particularly conservative credit relationships should engage outside counsel to review both the credit agreement and the proposed hosting agreement before approaching the lender. A clean legal opinion that the arrangement is within the existing credit agreement is the most effective way to avoid a drawn-out consent process.</w:t>
      </w:r>
    </w:p>
    <w:p>
      <w:pPr>
        <w:pStyle w:val="Heading1"/>
        <w:pBdr>
          <w:bottom w:val="single" w:color="F97316" w:sz="3"/>
        </w:pBdr>
        <w:spacing w:before="480" w:after="180"/>
      </w:pPr>
      <w:r>
        <w:rPr>
          <w:rFonts w:ascii="Arial" w:cs="Arial" w:eastAsia="Arial" w:hAnsi="Arial"/>
          <w:b/>
          <w:bCs/>
          <w:color w:val="0A0A0A"/>
          <w:sz w:val="28"/>
          <w:szCs w:val="28"/>
        </w:rPr>
        <w:t xml:space="preserve">5. How Peer Companies Are Structuring On-Lease Deployments</w:t>
      </w:r>
    </w:p>
    <w:p>
      <w:pPr>
        <w:spacing w:before="0" w:after="180"/>
        <w:jc w:val="left"/>
      </w:pPr>
      <w:r>
        <w:rPr>
          <w:rFonts w:ascii="Arial" w:cs="Arial" w:eastAsia="Arial" w:hAnsi="Arial"/>
          <w:b w:val="false"/>
          <w:bCs w:val="false"/>
          <w:i w:val="false"/>
          <w:iCs w:val="false"/>
          <w:color w:val="4A4A4A"/>
          <w:sz w:val="22"/>
          <w:szCs w:val="22"/>
        </w:rPr>
        <w:t xml:space="preserve">Bitcoin mining on stranded gas pads is not an emerging or experimental practice in the US E&amp;P sector—it is an established operating model adopted by companies across the size spectrum, from large public operators to small independents. The structures and documentation approaches described in this white paper are drawn from precedent transactions in the sector.</w:t>
      </w:r>
    </w:p>
    <w:p>
      <w:pPr>
        <w:spacing w:before="0" w:after="180"/>
        <w:jc w:val="left"/>
      </w:pPr>
      <w:r>
        <w:rPr>
          <w:rFonts w:ascii="Arial" w:cs="Arial" w:eastAsia="Arial" w:hAnsi="Arial"/>
          <w:b w:val="false"/>
          <w:bCs w:val="false"/>
          <w:i w:val="false"/>
          <w:iCs w:val="false"/>
          <w:color w:val="4A4A4A"/>
          <w:sz w:val="22"/>
          <w:szCs w:val="22"/>
        </w:rPr>
        <w:t xml:space="preserve">Because most operators prefer not to publicize these arrangements publicly—for competitive reasons rather than regulatory ones—the following describes the structural patterns that have emerged without attributing them to specific companies. Operators interested in reference calls with MCF.digital counterparties who have executed similar structures should request introductions directly.</w:t>
      </w:r>
    </w:p>
    <w:p>
      <w:pPr>
        <w:spacing w:before="0" w:after="80"/>
      </w:pPr>
      <w:r>
        <w:t xml:space="preserve"/>
      </w:r>
    </w:p>
    <w:p>
      <w:pPr>
        <w:pStyle w:val="Heading2"/>
        <w:spacing w:before="320" w:after="120"/>
      </w:pPr>
      <w:r>
        <w:rPr>
          <w:rFonts w:ascii="Arial" w:cs="Arial" w:eastAsia="Arial" w:hAnsi="Arial"/>
          <w:b/>
          <w:bCs/>
          <w:color w:val="1A1A1A"/>
          <w:sz w:val="24"/>
          <w:szCs w:val="24"/>
        </w:rPr>
        <w:t xml:space="preserve">5.1 Structural Patterns by Company Profile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c>
          <w:tcPr>
            <w:tcW w:type="dxa" w:w="2200"/>
            <w:tcBorders>
              <w:top w:val="single" w:color="E0E0E0" w:sz="1"/>
              <w:left w:val="single" w:color="E0E0E0" w:sz="1"/>
              <w:bottom w:val="single" w:color="E0E0E0" w:sz="1"/>
              <w:right w:val="single" w:color="E0E0E0" w:sz="1"/>
            </w:tcBorders>
            <w:shd w:fill="1E3A5F" w:val="clear"/>
            <w:tcMar>
              <w:top w:type="dxa" w:w="80"/>
              <w:left w:type="dxa" w:w="130"/>
              <w:bottom w:type="dxa" w:w="80"/>
              <w:right w:type="dxa" w:w="130"/>
            </w:tcMar>
          </w:tcPr>
          <w:p>
            <w:pPr>
              <w:jc w:val="left"/>
            </w:pPr>
            <w:r>
              <w:rPr>
                <w:rFonts w:ascii="Arial" w:cs="Arial" w:eastAsia="Arial" w:hAnsi="Arial"/>
                <w:b/>
                <w:bCs/>
                <w:color w:val="FFFFFF"/>
                <w:sz w:val="20"/>
                <w:szCs w:val="20"/>
              </w:rPr>
              <w:t xml:space="preserve">Operator Profile</w:t>
            </w:r>
          </w:p>
        </w:tc>
        <w:tc>
          <w:tcPr>
            <w:tcW w:type="dxa" w:w="2380"/>
            <w:tcBorders>
              <w:top w:val="single" w:color="E0E0E0" w:sz="1"/>
              <w:left w:val="single" w:color="E0E0E0" w:sz="1"/>
              <w:bottom w:val="single" w:color="E0E0E0" w:sz="1"/>
              <w:right w:val="single" w:color="E0E0E0" w:sz="1"/>
            </w:tcBorders>
            <w:shd w:fill="1E3A5F" w:val="clear"/>
            <w:tcMar>
              <w:top w:type="dxa" w:w="80"/>
              <w:left w:type="dxa" w:w="130"/>
              <w:bottom w:type="dxa" w:w="80"/>
              <w:right w:type="dxa" w:w="130"/>
            </w:tcMar>
          </w:tcPr>
          <w:p>
            <w:pPr>
              <w:jc w:val="left"/>
            </w:pPr>
            <w:r>
              <w:rPr>
                <w:rFonts w:ascii="Arial" w:cs="Arial" w:eastAsia="Arial" w:hAnsi="Arial"/>
                <w:b/>
                <w:bCs/>
                <w:color w:val="FFFFFF"/>
                <w:sz w:val="20"/>
                <w:szCs w:val="20"/>
              </w:rPr>
              <w:t xml:space="preserve">Typical Structure Choice</w:t>
            </w:r>
          </w:p>
        </w:tc>
        <w:tc>
          <w:tcPr>
            <w:tcW w:type="dxa" w:w="2380"/>
            <w:tcBorders>
              <w:top w:val="single" w:color="E0E0E0" w:sz="1"/>
              <w:left w:val="single" w:color="E0E0E0" w:sz="1"/>
              <w:bottom w:val="single" w:color="E0E0E0" w:sz="1"/>
              <w:right w:val="single" w:color="E0E0E0" w:sz="1"/>
            </w:tcBorders>
            <w:shd w:fill="1E3A5F" w:val="clear"/>
            <w:tcMar>
              <w:top w:type="dxa" w:w="80"/>
              <w:left w:type="dxa" w:w="130"/>
              <w:bottom w:type="dxa" w:w="80"/>
              <w:right w:type="dxa" w:w="130"/>
            </w:tcMar>
          </w:tcPr>
          <w:p>
            <w:pPr>
              <w:jc w:val="left"/>
            </w:pPr>
            <w:r>
              <w:rPr>
                <w:rFonts w:ascii="Arial" w:cs="Arial" w:eastAsia="Arial" w:hAnsi="Arial"/>
                <w:b/>
                <w:bCs/>
                <w:color w:val="FFFFFF"/>
                <w:sz w:val="20"/>
                <w:szCs w:val="20"/>
              </w:rPr>
              <w:t xml:space="preserve">Key Driver</w:t>
            </w:r>
          </w:p>
        </w:tc>
        <w:tc>
          <w:tcPr>
            <w:tcW w:type="dxa" w:w="2400"/>
            <w:tcBorders>
              <w:top w:val="single" w:color="E0E0E0" w:sz="1"/>
              <w:left w:val="single" w:color="E0E0E0" w:sz="1"/>
              <w:bottom w:val="single" w:color="E0E0E0" w:sz="1"/>
              <w:right w:val="single" w:color="E0E0E0" w:sz="1"/>
            </w:tcBorders>
            <w:shd w:fill="1E3A5F" w:val="clear"/>
            <w:tcMar>
              <w:top w:type="dxa" w:w="80"/>
              <w:left w:type="dxa" w:w="130"/>
              <w:bottom w:type="dxa" w:w="80"/>
              <w:right w:type="dxa" w:w="130"/>
            </w:tcMar>
          </w:tcPr>
          <w:p>
            <w:pPr>
              <w:jc w:val="left"/>
            </w:pPr>
            <w:r>
              <w:rPr>
                <w:rFonts w:ascii="Arial" w:cs="Arial" w:eastAsia="Arial" w:hAnsi="Arial"/>
                <w:b/>
                <w:bCs/>
                <w:color w:val="FFFFFF"/>
                <w:sz w:val="20"/>
                <w:szCs w:val="20"/>
              </w:rPr>
              <w:t xml:space="preserve">Accounting / Disclosure Approach</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Private family-owned E&amp;P, &lt; 10 employees</w:t>
            </w:r>
          </w:p>
        </w:tc>
        <w:tc>
          <w:tcPr>
            <w:tcW w:type="dxa" w:w="2380"/>
            <w:tcBorders>
              <w:top w:val="single" w:color="E0E0E0" w:sz="1"/>
              <w:left w:val="single" w:color="E0E0E0" w:sz="1"/>
              <w:bottom w:val="single" w:color="E0E0E0" w:sz="1"/>
              <w:right w:val="single" w:color="E0E0E0" w:sz="1"/>
            </w:tcBorders>
            <w:shd w:fill="EFF6FF" w:val="clear"/>
            <w:tcMar>
              <w:top w:type="dxa" w:w="80"/>
              <w:left w:type="dxa" w:w="130"/>
              <w:bottom w:type="dxa" w:w="80"/>
              <w:right w:type="dxa" w:w="130"/>
            </w:tcMar>
          </w:tcPr>
          <w:p>
            <w:r>
              <w:rPr>
                <w:rFonts w:ascii="Arial" w:cs="Arial" w:eastAsia="Arial" w:hAnsi="Arial"/>
                <w:b/>
                <w:bCs/>
                <w:color w:val="1E3A5F"/>
                <w:sz w:val="20"/>
                <w:szCs w:val="20"/>
              </w:rPr>
              <w:t xml:space="preserve">Structure A or B</w:t>
            </w:r>
          </w:p>
        </w:tc>
        <w:tc>
          <w:tcPr>
            <w:tcW w:type="dxa" w:w="238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Revenue maximization; owner comfortable with some BTC exposure via USD conversion.</w:t>
            </w:r>
          </w:p>
        </w:tc>
        <w:tc>
          <w:tcPr>
            <w:tcW w:type="dxa" w:w="24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Cash basis accounting; BTC-exposed revenue reported as ordinary income. Minimal disclosure.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Mid-size independent, private equity-backed</w:t>
            </w:r>
          </w:p>
        </w:tc>
        <w:tc>
          <w:tcPr>
            <w:tcW w:type="dxa" w:w="2380"/>
            <w:tcBorders>
              <w:top w:val="single" w:color="E0E0E0" w:sz="1"/>
              <w:left w:val="single" w:color="E0E0E0" w:sz="1"/>
              <w:bottom w:val="single" w:color="E0E0E0" w:sz="1"/>
              <w:right w:val="single" w:color="E0E0E0" w:sz="1"/>
            </w:tcBorders>
            <w:shd w:fill="EFF6FF" w:val="clear"/>
            <w:tcMar>
              <w:top w:type="dxa" w:w="80"/>
              <w:left w:type="dxa" w:w="130"/>
              <w:bottom w:type="dxa" w:w="80"/>
              <w:right w:type="dxa" w:w="130"/>
            </w:tcMar>
          </w:tcPr>
          <w:p>
            <w:r>
              <w:rPr>
                <w:rFonts w:ascii="Arial" w:cs="Arial" w:eastAsia="Arial" w:hAnsi="Arial"/>
                <w:b/>
                <w:bCs/>
                <w:color w:val="1E3A5F"/>
                <w:sz w:val="20"/>
                <w:szCs w:val="20"/>
              </w:rPr>
              <w:t xml:space="preserve">Structure A (fixed USD rate)</w:t>
            </w:r>
          </w:p>
        </w:tc>
        <w:tc>
          <w:tcPr>
            <w:tcW w:type="dxa" w:w="238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PE sponsor prefers clean, predictable revenue with no digital asset exposure in portfolio reporting.</w:t>
            </w:r>
          </w:p>
        </w:tc>
        <w:tc>
          <w:tcPr>
            <w:tcW w:type="dxa" w:w="240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Revenue reported as gas sales or service income. PE sponsor-level financial statements show no BTC line item.</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Public independent E&amp;P (sub-$1B market cap)</w:t>
            </w:r>
          </w:p>
        </w:tc>
        <w:tc>
          <w:tcPr>
            <w:tcW w:type="dxa" w:w="2380"/>
            <w:tcBorders>
              <w:top w:val="single" w:color="E0E0E0" w:sz="1"/>
              <w:left w:val="single" w:color="E0E0E0" w:sz="1"/>
              <w:bottom w:val="single" w:color="E0E0E0" w:sz="1"/>
              <w:right w:val="single" w:color="E0E0E0" w:sz="1"/>
            </w:tcBorders>
            <w:shd w:fill="EFF6FF" w:val="clear"/>
            <w:tcMar>
              <w:top w:type="dxa" w:w="80"/>
              <w:left w:type="dxa" w:w="130"/>
              <w:bottom w:type="dxa" w:w="80"/>
              <w:right w:type="dxa" w:w="130"/>
            </w:tcMar>
          </w:tcPr>
          <w:p>
            <w:r>
              <w:rPr>
                <w:rFonts w:ascii="Arial" w:cs="Arial" w:eastAsia="Arial" w:hAnsi="Arial"/>
                <w:b/>
                <w:bCs/>
                <w:color w:val="1E3A5F"/>
                <w:sz w:val="20"/>
                <w:szCs w:val="20"/>
              </w:rPr>
              <w:t xml:space="preserve">Structure C (capital partner routing)</w:t>
            </w:r>
          </w:p>
        </w:tc>
        <w:tc>
          <w:tcPr>
            <w:tcW w:type="dxa" w:w="238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Auditors and SEC counsel determined full BTC-separation clearest approach; fixed cash fee is fully within existing disclosure framework.</w:t>
            </w:r>
          </w:p>
        </w:tc>
        <w:tc>
          <w:tcPr>
            <w:tcW w:type="dxa" w:w="24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Disclosed in MDA as ‘gas monetization hosting revenue’ or similar. No digital asset disclosures triggered. Lender consent obtained.</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Large independent or major with strict ESG framework</w:t>
            </w:r>
          </w:p>
        </w:tc>
        <w:tc>
          <w:tcPr>
            <w:tcW w:type="dxa" w:w="2380"/>
            <w:tcBorders>
              <w:top w:val="single" w:color="E0E0E0" w:sz="1"/>
              <w:left w:val="single" w:color="E0E0E0" w:sz="1"/>
              <w:bottom w:val="single" w:color="E0E0E0" w:sz="1"/>
              <w:right w:val="single" w:color="E0E0E0" w:sz="1"/>
            </w:tcBorders>
            <w:shd w:fill="EFF6FF" w:val="clear"/>
            <w:tcMar>
              <w:top w:type="dxa" w:w="80"/>
              <w:left w:type="dxa" w:w="130"/>
              <w:bottom w:type="dxa" w:w="80"/>
              <w:right w:type="dxa" w:w="130"/>
            </w:tcMar>
          </w:tcPr>
          <w:p>
            <w:r>
              <w:rPr>
                <w:rFonts w:ascii="Arial" w:cs="Arial" w:eastAsia="Arial" w:hAnsi="Arial"/>
                <w:b/>
                <w:bCs/>
                <w:color w:val="1E3A5F"/>
                <w:sz w:val="20"/>
                <w:szCs w:val="20"/>
              </w:rPr>
              <w:t xml:space="preserve">Not yet engaged; using gas capture targets instead</w:t>
            </w:r>
          </w:p>
        </w:tc>
        <w:tc>
          <w:tcPr>
            <w:tcW w:type="dxa" w:w="238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ESG frameworks and stakeholder commitments have made on-lease mining politically complex internally, independent of accounting concerns.</w:t>
            </w:r>
          </w:p>
        </w:tc>
        <w:tc>
          <w:tcPr>
            <w:tcW w:type="dxa" w:w="240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N/A. However, several large operators are evaluating Structure C with the BTC routed to a designated charitable or environmental offset partner.</w:t>
            </w:r>
          </w:p>
        </w:tc>
      </w:tr>
    </w:tbl>
    <w:p>
      <w:pPr>
        <w:spacing w:before="0" w:after="120"/>
      </w:pPr>
      <w:r>
        <w:t xml:space="preserve"/>
      </w:r>
    </w:p>
    <w:p>
      <w:pPr>
        <w:pStyle w:val="Heading2"/>
        <w:spacing w:before="320" w:after="120"/>
      </w:pPr>
      <w:r>
        <w:rPr>
          <w:rFonts w:ascii="Arial" w:cs="Arial" w:eastAsia="Arial" w:hAnsi="Arial"/>
          <w:b/>
          <w:bCs/>
          <w:color w:val="1A1A1A"/>
          <w:sz w:val="24"/>
          <w:szCs w:val="24"/>
        </w:rPr>
        <w:t xml:space="preserve">5.2 What the Precedent Shows</w:t>
      </w:r>
    </w:p>
    <w:p>
      <w:pPr>
        <w:spacing w:before="0" w:after="180"/>
        <w:jc w:val="left"/>
      </w:pPr>
      <w:r>
        <w:rPr>
          <w:rFonts w:ascii="Arial" w:cs="Arial" w:eastAsia="Arial" w:hAnsi="Arial"/>
          <w:b w:val="false"/>
          <w:bCs w:val="false"/>
          <w:i w:val="false"/>
          <w:iCs w:val="false"/>
          <w:color w:val="4A4A4A"/>
          <w:sz w:val="22"/>
          <w:szCs w:val="22"/>
        </w:rPr>
        <w:t xml:space="preserve">The practical takeaway from the operator transactions MCF.digital has structured is that the accounting and legal concerns are real but solvable. The structuring work—choosing the right commercial arrangement, documenting it correctly, obtaining any required lender consent, and aligning with the auditor—typically takes four to eight weeks. This is not a material obstacle for a decision that generates ongoing monthly revenue for the life of the lease.</w:t>
      </w:r>
    </w:p>
    <w:p>
      <w:pPr>
        <w:spacing w:before="0" w:after="180"/>
        <w:jc w:val="left"/>
      </w:pPr>
      <w:r>
        <w:rPr>
          <w:rFonts w:ascii="Arial" w:cs="Arial" w:eastAsia="Arial" w:hAnsi="Arial"/>
          <w:b w:val="false"/>
          <w:bCs w:val="false"/>
          <w:i w:val="false"/>
          <w:iCs w:val="false"/>
          <w:color w:val="4A4A4A"/>
          <w:sz w:val="22"/>
          <w:szCs w:val="22"/>
        </w:rPr>
        <w:t xml:space="preserve">The operators who have moved fastest are those where the CFO or controller engaged directly in the structure selection process before legal or auditor review—rather than delegating the initial evaluation to legal and receiving a conservative refusal without exploring the structured alternatives. The question “can we do this?” asked of outside counsel without specifying a structure typically produces a cautious “consider the risks” response. The question “is Structure A within our existing accounting and covenant framework?” asked with documentation in hand produces a faster and more useful answer.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220"/>
        </w:tblCellMar>
      </w:tblPr>
      <w:tblGrid>
        <w:gridCol w:w="9360"/>
      </w:tblGrid>
      <w:tr>
        <w:tc>
          <w:tcPr>
            <w:tcW w:type="dxa" w:w="9360"/>
            <w:tcBorders>
              <w:top w:val="thick" w:color="F97316" w:sz="8"/>
              <w:left w:val="thick" w:color="F97316" w:sz="8"/>
              <w:bottom w:val="single" w:color="E0E0E0" w:sz="1"/>
              <w:right w:val="single" w:color="E0E0E0" w:sz="1"/>
            </w:tcBorders>
            <w:shd w:fill="FFF7ED" w:val="clear"/>
            <w:tcMar>
              <w:top w:type="dxa" w:w="140"/>
              <w:left w:type="dxa" w:w="220"/>
              <w:bottom w:type="dxa" w:w="140"/>
              <w:right w:type="dxa" w:w="220"/>
            </w:tcMar>
          </w:tcPr>
          <w:p>
            <w:pPr>
              <w:spacing w:after="60"/>
            </w:pPr>
            <w:r>
              <w:rPr>
                <w:rFonts w:ascii="Arial" w:cs="Arial" w:eastAsia="Arial" w:hAnsi="Arial"/>
                <w:b/>
                <w:bCs/>
                <w:color w:val="F97316"/>
                <w:sz w:val="20"/>
                <w:szCs w:val="20"/>
              </w:rPr>
              <w:t xml:space="preserve">The Disclosure Question</w:t>
            </w:r>
          </w:p>
          <w:p>
            <w:pPr>
              <w:spacing w:after="0"/>
            </w:pPr>
            <w:r>
              <w:rPr>
                <w:rFonts w:ascii="Arial" w:cs="Arial" w:eastAsia="Arial" w:hAnsi="Arial"/>
                <w:color w:val="1A1A1A"/>
                <w:sz w:val="21"/>
                <w:szCs w:val="21"/>
              </w:rPr>
              <w:t xml:space="preserve">Several CFOs have asked whether an on-lease gas monetization arrangement requires enhanced disclosure in their financial statements or SEC filings. The answer depends on materiality and structure. For most independent operators using Structure A or C, the revenue is immaterial to annual financial statements and does not trigger new disclosure obligations. For larger operators where the revenue is material, the arrangement is disclosed as gas marketing or service revenue—the same disclosure treatment as any other gas monetization arrangement. No specific digital asset disclosure (e.g., SAB 121) is triggered when the operator holds no digital assets.</w:t>
            </w:r>
          </w:p>
        </w:tc>
      </w:tr>
    </w:tbl>
    <w:p>
      <w:pPr>
        <w:pStyle w:val="Heading1"/>
        <w:pBdr>
          <w:bottom w:val="single" w:color="F97316" w:sz="3"/>
        </w:pBdr>
        <w:spacing w:before="480" w:after="180"/>
      </w:pPr>
      <w:r>
        <w:rPr>
          <w:rFonts w:ascii="Arial" w:cs="Arial" w:eastAsia="Arial" w:hAnsi="Arial"/>
          <w:b/>
          <w:bCs/>
          <w:color w:val="0A0A0A"/>
          <w:sz w:val="28"/>
          <w:szCs w:val="28"/>
        </w:rPr>
        <w:t xml:space="preserve">6. Implementation Checklist for Finance Teams</w:t>
      </w:r>
    </w:p>
    <w:p>
      <w:pPr>
        <w:spacing w:before="0" w:after="180"/>
        <w:jc w:val="left"/>
      </w:pPr>
      <w:r>
        <w:rPr>
          <w:rFonts w:ascii="Arial" w:cs="Arial" w:eastAsia="Arial" w:hAnsi="Arial"/>
          <w:b w:val="false"/>
          <w:bCs w:val="false"/>
          <w:i w:val="false"/>
          <w:iCs w:val="false"/>
          <w:color w:val="4A4A4A"/>
          <w:sz w:val="22"/>
          <w:szCs w:val="22"/>
        </w:rPr>
        <w:t xml:space="preserve">The following checklist is designed to be worked through by the operator’s finance team and outside advisors before executing an on-lease arrangement. Items should be completed in order; do not proceed to deal execution with open items in Steps 1–3.</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E0E0E0" w:sz="1"/>
              <w:left w:val="single" w:color="E0E0E0" w:sz="1"/>
              <w:bottom w:val="single" w:color="E0E0E0" w:sz="1"/>
              <w:right w:val="single" w:color="E0E0E0" w:sz="1"/>
            </w:tcBorders>
            <w:shd w:fill="1E3A5F" w:val="clear"/>
            <w:tcMar>
              <w:top w:type="dxa" w:w="80"/>
              <w:left w:type="dxa" w:w="130"/>
              <w:bottom w:type="dxa" w:w="80"/>
              <w:right w:type="dxa" w:w="130"/>
            </w:tcMar>
          </w:tcPr>
          <w:p>
            <w:pPr>
              <w:jc w:val="left"/>
            </w:pPr>
            <w:r>
              <w:rPr>
                <w:rFonts w:ascii="Arial" w:cs="Arial" w:eastAsia="Arial" w:hAnsi="Arial"/>
                <w:b/>
                <w:bCs/>
                <w:color w:val="FFFFFF"/>
                <w:sz w:val="20"/>
                <w:szCs w:val="20"/>
              </w:rPr>
              <w:t xml:space="preserve">#</w:t>
            </w:r>
          </w:p>
        </w:tc>
        <w:tc>
          <w:tcPr>
            <w:tcW w:type="dxa" w:w="4400"/>
            <w:tcBorders>
              <w:top w:val="single" w:color="E0E0E0" w:sz="1"/>
              <w:left w:val="single" w:color="E0E0E0" w:sz="1"/>
              <w:bottom w:val="single" w:color="E0E0E0" w:sz="1"/>
              <w:right w:val="single" w:color="E0E0E0" w:sz="1"/>
            </w:tcBorders>
            <w:shd w:fill="1E3A5F" w:val="clear"/>
            <w:tcMar>
              <w:top w:type="dxa" w:w="80"/>
              <w:left w:type="dxa" w:w="130"/>
              <w:bottom w:type="dxa" w:w="80"/>
              <w:right w:type="dxa" w:w="130"/>
            </w:tcMar>
          </w:tcPr>
          <w:p>
            <w:pPr>
              <w:jc w:val="left"/>
            </w:pPr>
            <w:r>
              <w:rPr>
                <w:rFonts w:ascii="Arial" w:cs="Arial" w:eastAsia="Arial" w:hAnsi="Arial"/>
                <w:b/>
                <w:bCs/>
                <w:color w:val="FFFFFF"/>
                <w:sz w:val="20"/>
                <w:szCs w:val="20"/>
              </w:rPr>
              <w:t xml:space="preserve">Action Item</w:t>
            </w:r>
          </w:p>
        </w:tc>
        <w:tc>
          <w:tcPr>
            <w:tcW w:type="dxa" w:w="4360"/>
            <w:tcBorders>
              <w:top w:val="single" w:color="E0E0E0" w:sz="1"/>
              <w:left w:val="single" w:color="E0E0E0" w:sz="1"/>
              <w:bottom w:val="single" w:color="E0E0E0" w:sz="1"/>
              <w:right w:val="single" w:color="E0E0E0" w:sz="1"/>
            </w:tcBorders>
            <w:shd w:fill="1E3A5F" w:val="clear"/>
            <w:tcMar>
              <w:top w:type="dxa" w:w="80"/>
              <w:left w:type="dxa" w:w="130"/>
              <w:bottom w:type="dxa" w:w="80"/>
              <w:right w:type="dxa" w:w="130"/>
            </w:tcMar>
          </w:tcPr>
          <w:p>
            <w:pPr>
              <w:jc w:val="left"/>
            </w:pPr>
            <w:r>
              <w:rPr>
                <w:rFonts w:ascii="Arial" w:cs="Arial" w:eastAsia="Arial" w:hAnsi="Arial"/>
                <w:b/>
                <w:bCs/>
                <w:color w:val="FFFFFF"/>
                <w:sz w:val="20"/>
                <w:szCs w:val="20"/>
              </w:rPr>
              <w:t xml:space="preserve">Owner</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bCs/>
                <w:color w:val="F97316"/>
                <w:sz w:val="20"/>
                <w:szCs w:val="20"/>
              </w:rPr>
              <w:t xml:space="preserve">1</w:t>
            </w:r>
          </w:p>
        </w:tc>
        <w:tc>
          <w:tcPr>
            <w:tcW w:type="dxa" w:w="44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Identify applicable constraints: Review credit agreement, any board resolutions, and company investment/treasury policy for explicit restrictions on digital assets, speculative transactions, or non-core investments.</w:t>
            </w:r>
          </w:p>
        </w:tc>
        <w:tc>
          <w:tcPr>
            <w:tcW w:type="dxa" w:w="436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CFO / General Counsel</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bCs/>
                <w:color w:val="F97316"/>
                <w:sz w:val="20"/>
                <w:szCs w:val="20"/>
              </w:rPr>
              <w:t xml:space="preserve">2</w:t>
            </w:r>
          </w:p>
        </w:tc>
        <w:tc>
          <w:tcPr>
            <w:tcW w:type="dxa" w:w="440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Select structure: Based on constraint review, determine whether Structure A (fixed USD), Structure B (USD-converted rev share), or Structure C (capital partner routing) best fits the company’s parameters.</w:t>
            </w:r>
          </w:p>
        </w:tc>
        <w:tc>
          <w:tcPr>
            <w:tcW w:type="dxa" w:w="436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CFO / Outside Counsel</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bCs/>
                <w:color w:val="F97316"/>
                <w:sz w:val="20"/>
                <w:szCs w:val="20"/>
              </w:rPr>
              <w:t xml:space="preserve">3</w:t>
            </w:r>
          </w:p>
        </w:tc>
        <w:tc>
          <w:tcPr>
            <w:tcW w:type="dxa" w:w="44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Engage auditor: Provide the selected structure documentation to the company’s external auditor and confirm the accounting treatment before execution. For Structure B, specifically request a view on embedded derivative treatment.</w:t>
            </w:r>
          </w:p>
        </w:tc>
        <w:tc>
          <w:tcPr>
            <w:tcW w:type="dxa" w:w="436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Controller / Audit Partner</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bCs/>
                <w:color w:val="F97316"/>
                <w:sz w:val="20"/>
                <w:szCs w:val="20"/>
              </w:rPr>
              <w:t xml:space="preserve">4</w:t>
            </w:r>
          </w:p>
        </w:tc>
        <w:tc>
          <w:tcPr>
            <w:tcW w:type="dxa" w:w="440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Lender notification or consent: Review credit agreement for notification or consent requirements. If consent is needed, initiate lender communication with structure documentation in hand.</w:t>
            </w:r>
          </w:p>
        </w:tc>
        <w:tc>
          <w:tcPr>
            <w:tcW w:type="dxa" w:w="436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CFO / Lender Relationship</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bCs/>
                <w:color w:val="F97316"/>
                <w:sz w:val="20"/>
                <w:szCs w:val="20"/>
              </w:rPr>
              <w:t xml:space="preserve">5</w:t>
            </w:r>
          </w:p>
        </w:tc>
        <w:tc>
          <w:tcPr>
            <w:tcW w:type="dxa" w:w="44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Tax counsel review: Provide the selected structure and draft agreement to tax counsel for confirmation of income character, recognition timing, and any state tax considerations.</w:t>
            </w:r>
          </w:p>
        </w:tc>
        <w:tc>
          <w:tcPr>
            <w:tcW w:type="dxa" w:w="436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Controller / Tax Counsel</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bCs/>
                <w:color w:val="F97316"/>
                <w:sz w:val="20"/>
                <w:szCs w:val="20"/>
              </w:rPr>
              <w:t xml:space="preserve">6</w:t>
            </w:r>
          </w:p>
        </w:tc>
        <w:tc>
          <w:tcPr>
            <w:tcW w:type="dxa" w:w="440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Execute and establish internal accounting policy: Document the revenue recognition policy for the on-lease arrangement in the company’s internal accounting policy manual. Establish the GL account mapping and monthly settlement reconciliation process.</w:t>
            </w:r>
          </w:p>
        </w:tc>
        <w:tc>
          <w:tcPr>
            <w:tcW w:type="dxa" w:w="4360"/>
            <w:tcBorders>
              <w:top w:val="single" w:color="E0E0E0" w:sz="1"/>
              <w:left w:val="single" w:color="E0E0E0" w:sz="1"/>
              <w:bottom w:val="single" w:color="E0E0E0" w:sz="1"/>
              <w:right w:val="single" w:color="E0E0E0"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Controller</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bCs/>
                <w:color w:val="F97316"/>
                <w:sz w:val="20"/>
                <w:szCs w:val="20"/>
              </w:rPr>
              <w:t xml:space="preserve">7</w:t>
            </w:r>
          </w:p>
        </w:tc>
        <w:tc>
          <w:tcPr>
            <w:tcW w:type="dxa" w:w="440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Monitor for regulatory developments: Track IRS guidance on digital asset mining taxation, any DAME Act developments, and SEC guidance on digital asset disclosure. Annual review recommended with tax counsel.</w:t>
            </w:r>
          </w:p>
        </w:tc>
        <w:tc>
          <w:tcPr>
            <w:tcW w:type="dxa" w:w="4360"/>
            <w:tcBorders>
              <w:top w:val="single" w:color="E0E0E0" w:sz="1"/>
              <w:left w:val="single" w:color="E0E0E0" w:sz="1"/>
              <w:bottom w:val="single" w:color="E0E0E0" w:sz="1"/>
              <w:right w:val="single" w:color="E0E0E0" w:sz="1"/>
            </w:tcBorders>
            <w:shd w:fill="F5F5F5"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CFO / Tax Counsel (annual)</w:t>
            </w:r>
          </w:p>
        </w:tc>
      </w:tr>
    </w:tbl>
    <w:p>
      <w:pPr>
        <w:spacing w:before="0" w:after="320"/>
      </w:pPr>
      <w:r>
        <w:t xml:space="preserve"/>
      </w:r>
    </w:p>
    <w:p>
      <w:pPr>
        <w:pStyle w:val="Heading1"/>
        <w:pBdr>
          <w:bottom w:val="single" w:color="F97316" w:sz="3"/>
        </w:pBdr>
        <w:spacing w:before="480" w:after="180"/>
      </w:pPr>
      <w:r>
        <w:rPr>
          <w:rFonts w:ascii="Arial" w:cs="Arial" w:eastAsia="Arial" w:hAnsi="Arial"/>
          <w:b/>
          <w:bCs/>
          <w:color w:val="0A0A0A"/>
          <w:sz w:val="28"/>
          <w:szCs w:val="28"/>
        </w:rPr>
        <w:t xml:space="preserve">7. References</w:t>
      </w:r>
    </w:p>
    <w:p>
      <w:pPr>
        <w:pStyle w:val="Heading2"/>
        <w:spacing w:before="320" w:after="120"/>
      </w:pPr>
      <w:r>
        <w:rPr>
          <w:rFonts w:ascii="Arial" w:cs="Arial" w:eastAsia="Arial" w:hAnsi="Arial"/>
          <w:b/>
          <w:bCs/>
          <w:color w:val="1A1A1A"/>
          <w:sz w:val="24"/>
          <w:szCs w:val="24"/>
        </w:rPr>
        <w:t xml:space="preserve">Accounting Standards</w:t>
      </w:r>
    </w:p>
    <w:p>
      <w:pPr>
        <w:pStyle w:val="ListParagraph"/>
        <w:numPr>
          <w:ilvl w:val="0"/>
          <w:numId w:val="2"/>
        </w:numPr>
        <w:spacing w:after="120"/>
      </w:pPr>
      <w:r>
        <w:rPr>
          <w:rFonts w:ascii="Arial" w:cs="Arial" w:eastAsia="Arial" w:hAnsi="Arial"/>
          <w:color w:val="4A4A4A"/>
          <w:sz w:val="22"/>
          <w:szCs w:val="22"/>
        </w:rPr>
        <w:t xml:space="preserve">FASB ASC 350-60: Intangibles—Goodwill and Other—Crypto Assets (effective for fiscal years beginning after December 15, 2024). Establishes fair value measurement for crypto assets held by entities. Not applicable where operator holds no crypto assets.</w:t>
      </w:r>
    </w:p>
    <w:p>
      <w:pPr>
        <w:pStyle w:val="ListParagraph"/>
        <w:numPr>
          <w:ilvl w:val="0"/>
          <w:numId w:val="2"/>
        </w:numPr>
        <w:spacing w:after="120"/>
      </w:pPr>
      <w:r>
        <w:rPr>
          <w:rFonts w:ascii="Arial" w:cs="Arial" w:eastAsia="Arial" w:hAnsi="Arial"/>
          <w:color w:val="4A4A4A"/>
          <w:sz w:val="22"/>
          <w:szCs w:val="22"/>
        </w:rPr>
        <w:t xml:space="preserve">FASB ASC 606: Revenue from Contracts with Customers. Governs revenue recognition for hosting and gas sale arrangements.</w:t>
      </w:r>
    </w:p>
    <w:p>
      <w:pPr>
        <w:pStyle w:val="ListParagraph"/>
        <w:numPr>
          <w:ilvl w:val="0"/>
          <w:numId w:val="2"/>
        </w:numPr>
        <w:spacing w:after="120"/>
      </w:pPr>
      <w:r>
        <w:rPr>
          <w:rFonts w:ascii="Arial" w:cs="Arial" w:eastAsia="Arial" w:hAnsi="Arial"/>
          <w:color w:val="4A4A4A"/>
          <w:sz w:val="22"/>
          <w:szCs w:val="22"/>
        </w:rPr>
        <w:t xml:space="preserve">FASB ASC 815: Derivatives and Hedging. Relevant to embedded derivative analysis for Structure B.</w:t>
      </w:r>
    </w:p>
    <w:p>
      <w:pPr>
        <w:pStyle w:val="ListParagraph"/>
        <w:numPr>
          <w:ilvl w:val="0"/>
          <w:numId w:val="2"/>
        </w:numPr>
        <w:spacing w:after="120"/>
      </w:pPr>
      <w:r>
        <w:rPr>
          <w:rFonts w:ascii="Arial" w:cs="Arial" w:eastAsia="Arial" w:hAnsi="Arial"/>
          <w:color w:val="4A4A4A"/>
          <w:sz w:val="22"/>
          <w:szCs w:val="22"/>
        </w:rPr>
        <w:t xml:space="preserve">FASB ASC 932: Extractive Activities—Oil and Gas. Applies to operator’s gas revenue recognition and depletion accounting.</w:t>
      </w:r>
    </w:p>
    <w:p>
      <w:pPr>
        <w:pStyle w:val="Heading2"/>
        <w:spacing w:before="320" w:after="120"/>
      </w:pPr>
      <w:r>
        <w:rPr>
          <w:rFonts w:ascii="Arial" w:cs="Arial" w:eastAsia="Arial" w:hAnsi="Arial"/>
          <w:b/>
          <w:bCs/>
          <w:color w:val="1A1A1A"/>
          <w:sz w:val="24"/>
          <w:szCs w:val="24"/>
        </w:rPr>
        <w:t xml:space="preserve">Tax Authority</w:t>
      </w:r>
    </w:p>
    <w:p>
      <w:pPr>
        <w:pStyle w:val="ListParagraph"/>
        <w:numPr>
          <w:ilvl w:val="0"/>
          <w:numId w:val="2"/>
        </w:numPr>
        <w:spacing w:after="120"/>
      </w:pPr>
      <w:r>
        <w:rPr>
          <w:rFonts w:ascii="Arial" w:cs="Arial" w:eastAsia="Arial" w:hAnsi="Arial"/>
          <w:color w:val="4A4A4A"/>
          <w:sz w:val="22"/>
          <w:szCs w:val="22"/>
        </w:rPr>
        <w:t xml:space="preserve">IRS Revenue Ruling 2023-14: Confirms that Bitcoin received as income (including mining rewards) is gross income at FMV on date of receipt. Applicable only where operator receives BTC directly.</w:t>
      </w:r>
    </w:p>
    <w:p>
      <w:pPr>
        <w:pStyle w:val="ListParagraph"/>
        <w:numPr>
          <w:ilvl w:val="0"/>
          <w:numId w:val="2"/>
        </w:numPr>
        <w:spacing w:after="120"/>
      </w:pPr>
      <w:r>
        <w:rPr>
          <w:rFonts w:ascii="Arial" w:cs="Arial" w:eastAsia="Arial" w:hAnsi="Arial"/>
          <w:color w:val="4A4A4A"/>
          <w:sz w:val="22"/>
          <w:szCs w:val="22"/>
        </w:rPr>
        <w:t xml:space="preserve">IRS Notice 2014-21: Treatment of virtual currency as property for federal tax purposes.</w:t>
      </w:r>
    </w:p>
    <w:p>
      <w:pPr>
        <w:pStyle w:val="ListParagraph"/>
        <w:numPr>
          <w:ilvl w:val="0"/>
          <w:numId w:val="2"/>
        </w:numPr>
        <w:spacing w:after="120"/>
      </w:pPr>
      <w:r>
        <w:rPr>
          <w:rFonts w:ascii="Arial" w:cs="Arial" w:eastAsia="Arial" w:hAnsi="Arial"/>
          <w:color w:val="4A4A4A"/>
          <w:sz w:val="22"/>
          <w:szCs w:val="22"/>
        </w:rPr>
        <w:t xml:space="preserve">IRS Form 1099-DA and related guidance (2024–): Digital asset reporting requirements for brokers and exchanges. Not applicable to hosting structures where operator receives USD.</w:t>
      </w:r>
    </w:p>
    <w:p>
      <w:pPr>
        <w:pStyle w:val="ListParagraph"/>
        <w:numPr>
          <w:ilvl w:val="0"/>
          <w:numId w:val="2"/>
        </w:numPr>
        <w:spacing w:after="120"/>
      </w:pPr>
      <w:r>
        <w:rPr>
          <w:rFonts w:ascii="Arial" w:cs="Arial" w:eastAsia="Arial" w:hAnsi="Arial"/>
          <w:color w:val="4A4A4A"/>
          <w:sz w:val="22"/>
          <w:szCs w:val="22"/>
        </w:rPr>
        <w:t xml:space="preserve">IRS Publication 946: How to Depreciate Property. Applicable to operator’s capitalized costs for on-lease infrastructure, if any.</w:t>
      </w:r>
    </w:p>
    <w:p>
      <w:pPr>
        <w:pStyle w:val="Heading2"/>
        <w:spacing w:before="320" w:after="120"/>
      </w:pPr>
      <w:r>
        <w:rPr>
          <w:rFonts w:ascii="Arial" w:cs="Arial" w:eastAsia="Arial" w:hAnsi="Arial"/>
          <w:b/>
          <w:bCs/>
          <w:color w:val="1A1A1A"/>
          <w:sz w:val="24"/>
          <w:szCs w:val="24"/>
        </w:rPr>
        <w:t xml:space="preserve">Legislative and Regulatory</w:t>
      </w:r>
    </w:p>
    <w:p>
      <w:pPr>
        <w:pStyle w:val="ListParagraph"/>
        <w:numPr>
          <w:ilvl w:val="0"/>
          <w:numId w:val="2"/>
        </w:numPr>
        <w:spacing w:after="120"/>
      </w:pPr>
      <w:r>
        <w:rPr>
          <w:rFonts w:ascii="Arial" w:cs="Arial" w:eastAsia="Arial" w:hAnsi="Arial"/>
          <w:color w:val="4A4A4A"/>
          <w:sz w:val="22"/>
          <w:szCs w:val="22"/>
        </w:rPr>
        <w:t xml:space="preserve">Inflation Reduction Act of 2022, §13601: Methane Emissions Reduction Program (MERP). Creates financial incentives for operators to reduce flaring. On-lease monetization is a qualifying emissions reduction activity.</w:t>
      </w:r>
    </w:p>
    <w:p>
      <w:pPr>
        <w:pStyle w:val="ListParagraph"/>
        <w:numPr>
          <w:ilvl w:val="0"/>
          <w:numId w:val="2"/>
        </w:numPr>
        <w:spacing w:after="120"/>
      </w:pPr>
      <w:r>
        <w:rPr>
          <w:rFonts w:ascii="Arial" w:cs="Arial" w:eastAsia="Arial" w:hAnsi="Arial"/>
          <w:color w:val="4A4A4A"/>
          <w:sz w:val="22"/>
          <w:szCs w:val="22"/>
        </w:rPr>
        <w:t xml:space="preserve">Digital Asset Mining Energy (DAME) Excise Tax (proposed). As of publication, not enacted. Monitor for legislative developments.</w:t>
      </w:r>
    </w:p>
    <w:p>
      <w:pPr>
        <w:pStyle w:val="ListParagraph"/>
        <w:numPr>
          <w:ilvl w:val="0"/>
          <w:numId w:val="2"/>
        </w:numPr>
        <w:spacing w:after="120"/>
      </w:pPr>
      <w:r>
        <w:rPr>
          <w:rFonts w:ascii="Arial" w:cs="Arial" w:eastAsia="Arial" w:hAnsi="Arial"/>
          <w:color w:val="4A4A4A"/>
          <w:sz w:val="22"/>
          <w:szCs w:val="22"/>
        </w:rPr>
        <w:t xml:space="preserve">SEC Staff Accounting Bulletin No. 121 (SAB 121): Accounting for obligations to safeguard crypto assets. Not applicable to operators who do not custody crypto assets.</w:t>
      </w:r>
    </w:p>
    <w:p>
      <w:pPr>
        <w:pStyle w:val="Heading2"/>
        <w:spacing w:before="320" w:after="120"/>
      </w:pPr>
      <w:r>
        <w:rPr>
          <w:rFonts w:ascii="Arial" w:cs="Arial" w:eastAsia="Arial" w:hAnsi="Arial"/>
          <w:b/>
          <w:bCs/>
          <w:color w:val="1A1A1A"/>
          <w:sz w:val="24"/>
          <w:szCs w:val="24"/>
        </w:rPr>
        <w:t xml:space="preserve">Related MCF.digital Resources</w:t>
      </w:r>
    </w:p>
    <w:p>
      <w:pPr>
        <w:pStyle w:val="ListParagraph"/>
        <w:numPr>
          <w:ilvl w:val="0"/>
          <w:numId w:val="2"/>
        </w:numPr>
        <w:spacing w:after="120"/>
      </w:pPr>
      <w:r>
        <w:rPr>
          <w:rFonts w:ascii="Arial" w:cs="Arial" w:eastAsia="Arial" w:hAnsi="Arial"/>
          <w:color w:val="4A4A4A"/>
          <w:sz w:val="22"/>
          <w:szCs w:val="22"/>
        </w:rPr>
        <w:t xml:space="preserve">WP-1: Flare → Bitcoin Blueprint — Feasibility and deployment framework for flare-site operators</w:t>
      </w:r>
    </w:p>
    <w:p>
      <w:pPr>
        <w:pStyle w:val="ListParagraph"/>
        <w:numPr>
          <w:ilvl w:val="0"/>
          <w:numId w:val="2"/>
        </w:numPr>
        <w:spacing w:after="120"/>
      </w:pPr>
      <w:r>
        <w:rPr>
          <w:rFonts w:ascii="Arial" w:cs="Arial" w:eastAsia="Arial" w:hAnsi="Arial"/>
          <w:color w:val="4A4A4A"/>
          <w:sz w:val="22"/>
          <w:szCs w:val="22"/>
        </w:rPr>
        <w:t xml:space="preserve">WP-2: Netback Fixer — Detailed deal structure payout math and netback comparison</w:t>
      </w:r>
    </w:p>
    <w:p>
      <w:pPr>
        <w:pStyle w:val="ListParagraph"/>
        <w:numPr>
          <w:ilvl w:val="0"/>
          <w:numId w:val="2"/>
        </w:numPr>
        <w:spacing w:after="120"/>
      </w:pPr>
      <w:r>
        <w:rPr>
          <w:rFonts w:ascii="Arial" w:cs="Arial" w:eastAsia="Arial" w:hAnsi="Arial"/>
          <w:color w:val="4A4A4A"/>
          <w:sz w:val="22"/>
          <w:szCs w:val="22"/>
        </w:rPr>
        <w:t xml:space="preserve">OG-7: What Happens to Your Pad When Bitcoin Price Drops 50%? — Operator-facing BTC volatility analysis</w:t>
      </w:r>
    </w:p>
    <w:p>
      <w:pPr>
        <w:pStyle w:val="ListParagraph"/>
        <w:numPr>
          <w:ilvl w:val="0"/>
          <w:numId w:val="2"/>
        </w:numPr>
        <w:spacing w:after="120"/>
      </w:pPr>
      <w:r>
        <w:rPr>
          <w:rFonts w:ascii="Arial" w:cs="Arial" w:eastAsia="Arial" w:hAnsi="Arial"/>
          <w:color w:val="4A4A4A"/>
          <w:sz w:val="22"/>
          <w:szCs w:val="22"/>
        </w:rPr>
        <w:t xml:space="preserve">G-10: What Is Custody-First Bitcoin Payout? — Definitional glossary page</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F97316" w:sz="12"/>
              <w:left w:val="single" w:color="E0E0E0" w:sz="1"/>
              <w:bottom w:val="thick" w:color="F97316" w:sz="12"/>
              <w:right w:val="single" w:color="E0E0E0" w:sz="1"/>
            </w:tcBorders>
            <w:shd w:fill="1A1A1A" w:val="clear"/>
            <w:tcMar>
              <w:top w:type="dxa" w:w="300"/>
              <w:left w:type="dxa" w:w="400"/>
              <w:bottom w:type="dxa" w:w="300"/>
              <w:right w:type="dxa" w:w="400"/>
            </w:tcMar>
          </w:tcPr>
          <w:p>
            <w:pPr>
              <w:spacing w:after="120"/>
              <w:jc w:val="center"/>
            </w:pPr>
            <w:r>
              <w:rPr>
                <w:rFonts w:ascii="Arial" w:cs="Arial" w:eastAsia="Arial" w:hAnsi="Arial"/>
                <w:b/>
                <w:bCs/>
                <w:color w:val="FFFFFF"/>
                <w:sz w:val="32"/>
                <w:szCs w:val="32"/>
              </w:rPr>
              <w:t xml:space="preserve">Evaluate the structure for your company.</w:t>
            </w:r>
          </w:p>
          <w:p>
            <w:pPr>
              <w:spacing w:after="200"/>
              <w:jc w:val="center"/>
            </w:pPr>
            <w:r>
              <w:rPr>
                <w:rFonts w:ascii="Arial" w:cs="Arial" w:eastAsia="Arial" w:hAnsi="Arial"/>
                <w:color w:val="D4D4D4"/>
                <w:sz w:val="22"/>
                <w:szCs w:val="22"/>
              </w:rPr>
              <w:t xml:space="preserve">MCF.digital works directly with CFOs, controllers, and outside counsel to design payout structures that meet your accounting and treasury requirements before a deal is signed.</w:t>
            </w:r>
          </w:p>
          <w:p>
            <w:pPr>
              <w:spacing w:after="0"/>
              <w:jc w:val="center"/>
            </w:pPr>
            <w:r>
              <w:rPr>
                <w:rFonts w:ascii="Arial" w:cs="Arial" w:eastAsia="Arial" w:hAnsi="Arial"/>
                <w:b/>
                <w:bCs/>
                <w:color w:val="F97316"/>
                <w:sz w:val="26"/>
                <w:szCs w:val="26"/>
              </w:rPr>
              <w:t xml:space="preserve">Book a 15-minute fit call  ·  mcf.digital</w:t>
            </w:r>
          </w:p>
        </w:tc>
      </w:tr>
    </w:tbl>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3"/>
      </w:pBdr>
      <w:spacing w:before="120" w:after="0"/>
    </w:pPr>
    <w:r>
      <w:rPr>
        <w:rFonts w:ascii="Arial" w:cs="Arial" w:eastAsia="Arial" w:hAnsi="Arial"/>
        <w:color w:val="4A4A4A"/>
        <w:sz w:val="18"/>
        <w:szCs w:val="18"/>
      </w:rPr>
      <w:t xml:space="preserve">© 2026 MCF.DIGITAL  ·  mcf.digital  ·  For informational purposes only. Not legal, tax, or accounting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3"/>
      </w:pBdr>
      <w:spacing w:after="120"/>
    </w:pPr>
    <w:r>
      <w:rPr>
        <w:rFonts w:ascii="Arial" w:cs="Arial" w:eastAsia="Arial" w:hAnsi="Arial"/>
        <w:b/>
        <w:bCs/>
        <w:color w:val="F97316"/>
        <w:sz w:val="18"/>
        <w:szCs w:val="18"/>
      </w:rPr>
      <w:t xml:space="preserve">MCF.DIGITAL</w:t>
    </w:r>
    <w:r>
      <w:rPr>
        <w:rFonts w:ascii="Arial" w:cs="Arial" w:eastAsia="Arial" w:hAnsi="Arial"/>
        <w:color w:val="4A4A4A"/>
        <w:sz w:val="18"/>
        <w:szCs w:val="18"/>
      </w:rPr>
      <w:t xml:space="preserve">   |   The Bitcoin Treasury Paradox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color w:val="0A0A0A"/>
      <w:sz w:val="28"/>
      <w:szCs w:val="28"/>
    </w:rPr>
  </w:style>
  <w:style w:type="paragraph" w:styleId="Heading2">
    <w:name w:val="Heading 2"/>
    <w:basedOn w:val="Normal"/>
    <w:next w:val="Normal"/>
    <w:qFormat/>
    <w:pPr>
      <w:spacing w:before="320" w:after="12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2026-02-27T15:31:08.306Z</dcterms:created>
  <dcterms:modified xsi:type="dcterms:W3CDTF">2026-02-27T15:31:08.308Z</dcterms:modified>
</cp:coreProperties>
</file>

<file path=docProps/custom.xml><?xml version="1.0" encoding="utf-8"?>
<Properties xmlns="http://schemas.openxmlformats.org/officeDocument/2006/custom-properties" xmlns:vt="http://schemas.openxmlformats.org/officeDocument/2006/docPropsVTypes"/>
</file>