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t xml:space="preserve"/>
      </w:r>
    </w:p>
    <w:p>
      <w:pPr>
        <w:spacing w:before="0" w:after="80"/>
      </w:pPr>
      <w:r>
        <w:rPr>
          <w:rFonts w:ascii="Arial" w:cs="Arial" w:eastAsia="Arial" w:hAnsi="Arial"/>
          <w:b/>
          <w:bCs/>
          <w:color w:val="F97316"/>
          <w:spacing w:val="120"/>
          <w:sz w:val="24"/>
          <w:szCs w:val="24"/>
        </w:rPr>
        <w:t xml:space="preserve">MCF.DIGITAL</w:t>
      </w:r>
    </w:p>
    <w:p>
      <w:pPr>
        <w:pBdr>
          <w:bottom w:val="single" w:color="F97316" w:sz="12" w:space="1"/>
        </w:pBdr>
        <w:spacing w:before="0" w:after="400"/>
      </w:pPr>
    </w:p>
    <w:p>
      <w:pPr>
        <w:spacing w:before="0" w:after="200"/>
      </w:pPr>
      <w:r>
        <w:rPr>
          <w:rFonts w:ascii="Arial" w:cs="Arial" w:eastAsia="Arial" w:hAnsi="Arial"/>
          <w:b/>
          <w:bCs/>
          <w:color w:val="4B5563"/>
          <w:spacing w:val="120"/>
          <w:sz w:val="20"/>
          <w:szCs w:val="20"/>
        </w:rPr>
        <w:t xml:space="preserve">ANNUAL REGULATORY BRIEFING</w:t>
      </w:r>
    </w:p>
    <w:p>
      <w:pPr>
        <w:spacing w:before="0" w:after="100"/>
      </w:pPr>
      <w:r>
        <w:rPr>
          <w:rFonts w:ascii="Arial" w:cs="Arial" w:eastAsia="Arial" w:hAnsi="Arial"/>
          <w:b/>
          <w:bCs/>
          <w:color w:val="0A0A0A"/>
          <w:sz w:val="60"/>
          <w:szCs w:val="60"/>
        </w:rPr>
        <w:t xml:space="preserve">US Flaring Regulation</w:t>
      </w:r>
    </w:p>
    <w:p>
      <w:pPr>
        <w:spacing w:before="0" w:after="200"/>
      </w:pPr>
      <w:r>
        <w:rPr>
          <w:rFonts w:ascii="Arial" w:cs="Arial" w:eastAsia="Arial" w:hAnsi="Arial"/>
          <w:b/>
          <w:bCs/>
          <w:color w:val="F97316"/>
          <w:sz w:val="60"/>
          <w:szCs w:val="60"/>
        </w:rPr>
        <w:t xml:space="preserve">in 2026</w:t>
      </w:r>
    </w:p>
    <w:p>
      <w:pPr>
        <w:spacing w:before="0" w:after="600"/>
      </w:pPr>
      <w:r>
        <w:rPr>
          <w:rFonts w:ascii="Arial" w:cs="Arial" w:eastAsia="Arial" w:hAnsi="Arial"/>
          <w:i/>
          <w:iCs/>
          <w:color w:val="4B5563"/>
          <w:sz w:val="32"/>
          <w:szCs w:val="32"/>
        </w:rPr>
        <w:t xml:space="preserve">What Operators Need to Know</w:t>
      </w:r>
    </w:p>
    <w:p>
      <w:pPr>
        <w:pBdr>
          <w:bottom w:val="single" w:color="E5E7EB" w:sz="4" w:space="1"/>
        </w:pBdr>
        <w:spacing w:before="80" w:after="80"/>
      </w:pPr>
    </w:p>
    <w:p>
      <w:pPr>
        <w:spacing w:before="0" w:after="200"/>
      </w:pPr>
      <w:r>
        <w:t xml:space="preserve"/>
      </w:r>
    </w:p>
    <w:p>
      <w:pPr>
        <w:spacing w:before="0" w:after="120"/>
      </w:pPr>
      <w:r>
        <w:rPr>
          <w:rFonts w:ascii="Arial" w:cs="Arial" w:eastAsia="Arial" w:hAnsi="Arial"/>
          <w:b/>
          <w:bCs/>
          <w:color w:val="1A1A1A"/>
          <w:sz w:val="22"/>
          <w:szCs w:val="22"/>
        </w:rPr>
        <w:t xml:space="preserve">What this briefing covers</w:t>
      </w:r>
    </w:p>
    <w:p>
      <w:pPr>
        <w:pStyle w:val="ListParagraph"/>
        <w:numPr>
          <w:ilvl w:val="0"/>
          <w:numId w:val="2"/>
        </w:numPr>
        <w:spacing w:before="50" w:after="50"/>
      </w:pPr>
      <w:r>
        <w:rPr>
          <w:rFonts w:ascii="Arial" w:cs="Arial" w:eastAsia="Arial" w:hAnsi="Arial"/>
          <w:color w:val="1A1A1A"/>
          <w:sz w:val="22"/>
          <w:szCs w:val="22"/>
        </w:rPr>
        <w:t xml:space="preserve">The federal regulatory framework: NSPS OOOOb and EG OOOOc explained</w:t>
      </w:r>
    </w:p>
    <w:p>
      <w:pPr>
        <w:pStyle w:val="ListParagraph"/>
        <w:numPr>
          <w:ilvl w:val="0"/>
          <w:numId w:val="2"/>
        </w:numPr>
        <w:spacing w:before="50" w:after="50"/>
      </w:pPr>
      <w:r>
        <w:rPr>
          <w:rFonts w:ascii="Arial" w:cs="Arial" w:eastAsia="Arial" w:hAnsi="Arial"/>
          <w:color w:val="1A1A1A"/>
          <w:sz w:val="22"/>
          <w:szCs w:val="22"/>
        </w:rPr>
        <w:t xml:space="preserve">Current compliance deadlines after the November 2025 extension</w:t>
      </w:r>
    </w:p>
    <w:p>
      <w:pPr>
        <w:pStyle w:val="ListParagraph"/>
        <w:numPr>
          <w:ilvl w:val="0"/>
          <w:numId w:val="2"/>
        </w:numPr>
        <w:spacing w:before="50" w:after="50"/>
      </w:pPr>
      <w:r>
        <w:rPr>
          <w:rFonts w:ascii="Arial" w:cs="Arial" w:eastAsia="Arial" w:hAnsi="Arial"/>
          <w:color w:val="1A1A1A"/>
          <w:sz w:val="22"/>
          <w:szCs w:val="22"/>
        </w:rPr>
        <w:t xml:space="preserve">State-by-state rules: Texas, North Dakota, Colorado, New Mexico, Wyoming, and Montana</w:t>
      </w:r>
    </w:p>
    <w:p>
      <w:pPr>
        <w:pStyle w:val="ListParagraph"/>
        <w:numPr>
          <w:ilvl w:val="0"/>
          <w:numId w:val="2"/>
        </w:numPr>
        <w:spacing w:before="50" w:after="50"/>
      </w:pPr>
      <w:r>
        <w:rPr>
          <w:rFonts w:ascii="Arial" w:cs="Arial" w:eastAsia="Arial" w:hAnsi="Arial"/>
          <w:color w:val="1A1A1A"/>
          <w:sz w:val="22"/>
          <w:szCs w:val="22"/>
        </w:rPr>
        <w:t xml:space="preserve">Permit requirements, fine structures, and enforcement trends</w:t>
      </w:r>
    </w:p>
    <w:p>
      <w:pPr>
        <w:pStyle w:val="ListParagraph"/>
        <w:numPr>
          <w:ilvl w:val="0"/>
          <w:numId w:val="2"/>
        </w:numPr>
        <w:spacing w:before="50" w:after="50"/>
      </w:pPr>
      <w:r>
        <w:rPr>
          <w:rFonts w:ascii="Arial" w:cs="Arial" w:eastAsia="Arial" w:hAnsi="Arial"/>
          <w:color w:val="1A1A1A"/>
          <w:sz w:val="22"/>
          <w:szCs w:val="22"/>
        </w:rPr>
        <w:t xml:space="preserve">The on-lease alternative: how beneficial use provisions create a compliance pathway</w:t>
      </w:r>
    </w:p>
    <w:p>
      <w:pPr>
        <w:pStyle w:val="ListParagraph"/>
        <w:numPr>
          <w:ilvl w:val="0"/>
          <w:numId w:val="2"/>
        </w:numPr>
        <w:spacing w:before="50" w:after="50"/>
      </w:pPr>
      <w:r>
        <w:rPr>
          <w:rFonts w:ascii="Arial" w:cs="Arial" w:eastAsia="Arial" w:hAnsi="Arial"/>
          <w:color w:val="1A1A1A"/>
          <w:sz w:val="22"/>
          <w:szCs w:val="22"/>
        </w:rPr>
        <w:t xml:space="preserve">What to do now: a practical operator action checklist</w:t>
      </w:r>
    </w:p>
    <w:p>
      <w:pPr>
        <w:spacing w:before="0" w:after="400"/>
      </w:pPr>
      <w:r>
        <w:t xml:space="preserve"/>
      </w:r>
    </w:p>
    <w:p>
      <w:pPr>
        <w:pBdr>
          <w:bottom w:val="single" w:color="E5E7EB" w:sz="4" w:space="1"/>
        </w:pBdr>
        <w:spacing w:before="80" w:after="80"/>
      </w:pPr>
    </w:p>
    <w:p>
      <w:pPr>
        <w:spacing w:before="0" w:after="100"/>
      </w:pPr>
      <w:r>
        <w:t xml:space="preserve"/>
      </w:r>
    </w:p>
    <w:p>
      <w:pPr>
        <w:spacing w:before="0" w:after="0"/>
      </w:pPr>
      <w:r>
        <w:rPr>
          <w:rFonts w:ascii="Arial" w:cs="Arial" w:eastAsia="Arial" w:hAnsi="Arial"/>
          <w:color w:val="4B5563"/>
          <w:sz w:val="20"/>
          <w:szCs w:val="20"/>
        </w:rPr>
        <w:t xml:space="preserve">Published February 2026  </w:t>
      </w:r>
      <w:r>
        <w:rPr>
          <w:rFonts w:ascii="Arial" w:cs="Arial" w:eastAsia="Arial" w:hAnsi="Arial"/>
          <w:b/>
          <w:bCs/>
          <w:color w:val="F97316"/>
          <w:sz w:val="20"/>
          <w:szCs w:val="20"/>
        </w:rPr>
        <w:t xml:space="preserve">  mcf.digital</w:t>
      </w:r>
    </w:p>
    <w:p>
      <w:pPr>
        <w:spacing w:before="60" w:after="0"/>
      </w:pPr>
      <w:r>
        <w:rPr>
          <w:rFonts w:ascii="Arial" w:cs="Arial" w:eastAsia="Arial" w:hAnsi="Arial"/>
          <w:i/>
          <w:iCs/>
          <w:color w:val="4B5563"/>
          <w:sz w:val="18"/>
          <w:szCs w:val="18"/>
        </w:rPr>
        <w:t xml:space="preserve">Annual edition — updated each January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24"/>
              <w:bottom w:val="single" w:color="1D4ED8" w:sz="8"/>
              <w:right w:val="single" w:color="1D4ED8" w:sz="8"/>
            </w:tcBorders>
            <w:shd w:fill="DBEAFE" w:val="clear"/>
            <w:tcMar>
              <w:top w:type="dxa" w:w="160"/>
              <w:left w:type="dxa" w:w="200"/>
              <w:bottom w:type="dxa" w:w="160"/>
              <w:right w:type="dxa" w:w="200"/>
            </w:tcMar>
          </w:tcPr>
          <w:p>
            <w:pPr>
              <w:spacing w:before="0" w:after="80"/>
            </w:pPr>
            <w:r>
              <w:rPr>
                <w:rFonts w:ascii="Arial" w:cs="Arial" w:eastAsia="Arial" w:hAnsi="Arial"/>
                <w:b/>
                <w:bCs/>
                <w:color w:val="1D4ED8"/>
                <w:sz w:val="20"/>
                <w:szCs w:val="20"/>
              </w:rPr>
              <w:t xml:space="preserve">How to use this briefing</w:t>
            </w:r>
          </w:p>
          <w:p>
            <w:pPr>
              <w:spacing w:before="40" w:after="40"/>
            </w:pPr>
            <w:r>
              <w:rPr>
                <w:rFonts w:ascii="Arial" w:cs="Arial" w:eastAsia="Arial" w:hAnsi="Arial"/>
                <w:color w:val="1A1A1A"/>
                <w:sz w:val="20"/>
                <w:szCs w:val="20"/>
              </w:rPr>
              <w:t xml:space="preserve">This document is a reference guide for US oil and gas operators actively flaring or producing stranded gas. It summarizes the regulatory landscape in plain language — not legal advice. Rules change. Where specific compliance decisions are involved, consult qualified legal and environmental counsel. Regulations referenced are current as of January 2026.</w:t>
            </w:r>
          </w:p>
        </w:tc>
      </w:tr>
    </w:tbl>
    <w:p>
      <w:pPr>
        <w:spacing w:before="0" w:after="120"/>
      </w:pPr>
      <w:r>
        <w:t xml:space="preserve"/>
      </w:r>
    </w:p>
    <w:p>
      <w:pPr>
        <w:pStyle w:val="Heading1"/>
        <w:spacing w:before="360" w:after="200"/>
      </w:pPr>
      <w:r>
        <w:rPr>
          <w:rFonts w:ascii="Arial" w:cs="Arial" w:eastAsia="Arial" w:hAnsi="Arial"/>
          <w:b/>
          <w:bCs/>
          <w:color w:val="0A0A0A"/>
          <w:sz w:val="36"/>
          <w:szCs w:val="36"/>
        </w:rPr>
        <w:t xml:space="preserve">1. Why 2026 Is the Year to Act</w:t>
      </w:r>
    </w:p>
    <w:p>
      <w:pPr>
        <w:pBdr>
          <w:bottom w:val="single" w:color="F97316" w:sz="12" w:space="1"/>
        </w:pBdr>
        <w:spacing w:before="160" w:after="160"/>
      </w:pPr>
    </w:p>
    <w:p>
      <w:pPr>
        <w:spacing w:before="60" w:after="140"/>
        <w:jc w:val="both"/>
      </w:pPr>
      <w:r>
        <w:rPr>
          <w:rFonts w:ascii="Arial" w:cs="Arial" w:eastAsia="Arial" w:hAnsi="Arial"/>
          <w:color w:val="1A1A1A"/>
          <w:sz w:val="22"/>
          <w:szCs w:val="22"/>
        </w:rPr>
        <w:t xml:space="preserve">For most of the past decade, the regulatory pressure on US flaring has been real but manageable. State-level rules set targets, operators requested exemptions, and enforcement remained inconsistent. That dynamic is changing. 2026 is the first year in which federal flaring restrictions under NSPS OOOOb carry the force of active compliance deadlines — not just phase-in timelines. At the same time, state agencies in North Dakota, Texas, New Mexico, and Colorado are tightening permit review and audit activity.</w:t>
      </w:r>
    </w:p>
    <w:p>
      <w:pPr>
        <w:spacing w:before="60" w:after="140"/>
        <w:jc w:val="both"/>
      </w:pPr>
      <w:r>
        <w:rPr>
          <w:rFonts w:ascii="Arial" w:cs="Arial" w:eastAsia="Arial" w:hAnsi="Arial"/>
          <w:color w:val="1A1A1A"/>
          <w:sz w:val="22"/>
          <w:szCs w:val="22"/>
        </w:rPr>
        <w:t xml:space="preserve">The combination of federal and state pressure is creating a new reality: operators who have been handling flaring through exemptions and extensions face a shrinking window to implement permanent compliance solutions. The question is no longer whether to act, but which pathway to use — pipeline connection, gas capture, reinjection, or beneficial on-lease use.</w:t>
      </w:r>
    </w:p>
    <w:p>
      <w:pPr>
        <w:spacing w:before="60" w:after="140"/>
        <w:jc w:val="both"/>
      </w:pPr>
      <w:r>
        <w:rPr>
          <w:rFonts w:ascii="Arial" w:cs="Arial" w:eastAsia="Arial" w:hAnsi="Arial"/>
          <w:color w:val="1A1A1A"/>
          <w:sz w:val="22"/>
          <w:szCs w:val="22"/>
        </w:rPr>
        <w:t xml:space="preserve">This briefing exists because operators deserve a clear-eyed summary of what the rules actually require, what deadlines are real, and what options exist. It is updated annually because this landscape continues to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24"/>
              <w:bottom w:val="single" w:color="DC2626" w:sz="8"/>
              <w:right w:val="single" w:color="DC2626" w:sz="8"/>
            </w:tcBorders>
            <w:shd w:fill="FEE2E2" w:val="clear"/>
            <w:tcMar>
              <w:top w:type="dxa" w:w="160"/>
              <w:left w:type="dxa" w:w="200"/>
              <w:bottom w:type="dxa" w:w="160"/>
              <w:right w:type="dxa" w:w="200"/>
            </w:tcMar>
          </w:tcPr>
          <w:p>
            <w:pPr>
              <w:spacing w:before="0" w:after="80"/>
            </w:pPr>
            <w:r>
              <w:rPr>
                <w:rFonts w:ascii="Arial" w:cs="Arial" w:eastAsia="Arial" w:hAnsi="Arial"/>
                <w:b/>
                <w:bCs/>
                <w:color w:val="DC2626"/>
                <w:sz w:val="20"/>
                <w:szCs w:val="20"/>
              </w:rPr>
              <w:t xml:space="preserve">The critical deadline: March 8, 2026</w:t>
            </w:r>
          </w:p>
          <w:p>
            <w:pPr>
              <w:spacing w:before="40" w:after="40"/>
            </w:pPr>
            <w:r>
              <w:rPr>
                <w:rFonts w:ascii="Arial" w:cs="Arial" w:eastAsia="Arial" w:hAnsi="Arial"/>
                <w:color w:val="1A1A1A"/>
                <w:sz w:val="20"/>
                <w:szCs w:val="20"/>
              </w:rPr>
              <w:t xml:space="preserve">For new oil wells constructed after December 6, 2022, routine flaring of associated gas became prohibited as of March 8, 2026 under NSPS OOOOb. After this date, gas must be routed to a sales line, used on-site as fuel, or used for another beneficial purpose. Emergency and malfunction exceptions remain. This is not a soft target — it is an active NSPS compliance date.</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2. The Federal Framework: NSPS OOOOb and EG OOOOc</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2.1  What Changed in 2024</w:t>
      </w:r>
    </w:p>
    <w:p>
      <w:pPr>
        <w:spacing w:before="60" w:after="140"/>
        <w:jc w:val="both"/>
      </w:pPr>
      <w:r>
        <w:rPr>
          <w:rFonts w:ascii="Arial" w:cs="Arial" w:eastAsia="Arial" w:hAnsi="Arial"/>
          <w:color w:val="1A1A1A"/>
          <w:sz w:val="22"/>
          <w:szCs w:val="22"/>
        </w:rPr>
        <w:t xml:space="preserve">On March 8, 2024, EPA finalized a comprehensive update to its methane and VOC standards for the oil and gas sector under 40 CFR Part 60. The final rule established two new regulatory subparts: NSPS OOOOb, which governs new and modified sources (those constructed, modified, or reconstructed after December 6, 2022), and EG OOOOc, which sets emissions guidelines for existing sources — the hundreds of thousands of facilities already operating before that date.</w:t>
      </w:r>
    </w:p>
    <w:p>
      <w:pPr>
        <w:spacing w:before="60" w:after="140"/>
        <w:jc w:val="both"/>
      </w:pPr>
      <w:r>
        <w:rPr>
          <w:rFonts w:ascii="Arial" w:cs="Arial" w:eastAsia="Arial" w:hAnsi="Arial"/>
          <w:color w:val="1A1A1A"/>
          <w:sz w:val="22"/>
          <w:szCs w:val="22"/>
        </w:rPr>
        <w:t xml:space="preserve">The 2024 rules build on EPA's earlier NSPS OOOO and OOOOa standards but are meaningfully more comprehensive. Key additions include: a phase-out of routine flaring for new oil wells, a super-emitter program using satellite and remote sensing technology to detect large methane releases, expanded requirements for pneumatic devices, storage vessels, and compressor stations, and for the first time, a structured state plan framework for existing sources.</w:t>
      </w:r>
    </w:p>
    <w:p>
      <w:pPr>
        <w:pStyle w:val="Heading2"/>
        <w:spacing w:before="280" w:after="140"/>
      </w:pPr>
      <w:r>
        <w:rPr>
          <w:rFonts w:ascii="Arial" w:cs="Arial" w:eastAsia="Arial" w:hAnsi="Arial"/>
          <w:b/>
          <w:bCs/>
          <w:color w:val="0A0A0A"/>
          <w:sz w:val="26"/>
          <w:szCs w:val="26"/>
        </w:rPr>
        <w:t xml:space="preserve">2.2  NSPS OOOOb — New and Modified Sources</w:t>
      </w:r>
    </w:p>
    <w:p>
      <w:pPr>
        <w:spacing w:before="60" w:after="140"/>
        <w:jc w:val="both"/>
      </w:pPr>
      <w:r>
        <w:rPr>
          <w:rFonts w:ascii="Arial" w:cs="Arial" w:eastAsia="Arial" w:hAnsi="Arial"/>
          <w:color w:val="1A1A1A"/>
          <w:sz w:val="22"/>
          <w:szCs w:val="22"/>
        </w:rPr>
        <w:t xml:space="preserve">NSPS OOOOb applies to any oil and gas facility that commenced construction, modification, or reconstruction after December 6, 2022. If you have drilled new wells, installed new equipment, or made qualifying modifications since that date, OOOOb applies to those facilities immediately — it does not wait for any state plan.</w:t>
      </w:r>
    </w:p>
    <w:p>
      <w:pPr>
        <w:spacing w:before="60" w:after="140"/>
        <w:jc w:val="both"/>
      </w:pPr>
      <w:r>
        <w:rPr>
          <w:rFonts w:ascii="Arial" w:cs="Arial" w:eastAsia="Arial" w:hAnsi="Arial"/>
          <w:color w:val="1A1A1A"/>
          <w:sz w:val="22"/>
          <w:szCs w:val="22"/>
        </w:rPr>
        <w:t xml:space="preserve">The most significant OOOOb provision for operators: the phased prohibition on routine flaring of associated gas from new oil wells. The framework works as follows:</w:t>
      </w:r>
    </w:p>
    <w:p>
      <w:pPr>
        <w:pStyle w:val="ListParagraph"/>
        <w:numPr>
          <w:ilvl w:val="0"/>
          <w:numId w:val="2"/>
        </w:numPr>
        <w:spacing w:before="50" w:after="50"/>
      </w:pPr>
      <w:r>
        <w:rPr>
          <w:rFonts w:ascii="Arial" w:cs="Arial" w:eastAsia="Arial" w:hAnsi="Arial"/>
          <w:color w:val="1A1A1A"/>
          <w:sz w:val="22"/>
          <w:szCs w:val="22"/>
        </w:rPr>
        <w:t xml:space="preserve">Wells constructed within the first two years of OOOOb (through approximately March 2026) had a two-year compliance window to eliminate routine flaring.</w:t>
      </w:r>
    </w:p>
    <w:p>
      <w:pPr>
        <w:pStyle w:val="ListParagraph"/>
        <w:numPr>
          <w:ilvl w:val="0"/>
          <w:numId w:val="2"/>
        </w:numPr>
        <w:spacing w:before="50" w:after="50"/>
      </w:pPr>
      <w:r>
        <w:rPr>
          <w:rFonts w:ascii="Arial" w:cs="Arial" w:eastAsia="Arial" w:hAnsi="Arial"/>
          <w:color w:val="1A1A1A"/>
          <w:sz w:val="22"/>
          <w:szCs w:val="22"/>
        </w:rPr>
        <w:t xml:space="preserve">After March 8, 2026, new wells must route associated gas to a sales line, use it on-site as fuel, reinject it, or apply it to another beneficial purpose. Routine combustion flaring is prohibited absent emergency or malfunction conditions.</w:t>
      </w:r>
    </w:p>
    <w:p>
      <w:pPr>
        <w:pStyle w:val="ListParagraph"/>
        <w:numPr>
          <w:ilvl w:val="0"/>
          <w:numId w:val="2"/>
        </w:numPr>
        <w:spacing w:before="50" w:after="50"/>
      </w:pPr>
      <w:r>
        <w:rPr>
          <w:rFonts w:ascii="Arial" w:cs="Arial" w:eastAsia="Arial" w:hAnsi="Arial"/>
          <w:color w:val="1A1A1A"/>
          <w:sz w:val="22"/>
          <w:szCs w:val="22"/>
        </w:rPr>
        <w:t xml:space="preserve">Temporary flaring exceptions remain available for specific conditions including pipeline constraints and operational emergencies, but these are time-limited and require documentation.</w:t>
      </w:r>
    </w:p>
    <w:p>
      <w:pPr>
        <w:spacing w:before="60" w:after="140"/>
        <w:jc w:val="both"/>
      </w:pPr>
      <w:r>
        <w:rPr>
          <w:rFonts w:ascii="Arial" w:cs="Arial" w:eastAsia="Arial" w:hAnsi="Arial"/>
          <w:color w:val="1A1A1A"/>
          <w:sz w:val="22"/>
          <w:szCs w:val="22"/>
        </w:rPr>
        <w:t xml:space="preserve">Other core OOOOb requirements that are already in effect or coming into force in 2026:</w:t>
      </w:r>
    </w:p>
    <w:p>
      <w:pPr>
        <w:pStyle w:val="ListParagraph"/>
        <w:numPr>
          <w:ilvl w:val="0"/>
          <w:numId w:val="2"/>
        </w:numPr>
        <w:spacing w:before="50" w:after="50"/>
      </w:pPr>
      <w:r>
        <w:rPr>
          <w:rFonts w:ascii="Arial" w:cs="Arial" w:eastAsia="Arial" w:hAnsi="Arial"/>
          <w:color w:val="1A1A1A"/>
          <w:sz w:val="22"/>
          <w:szCs w:val="22"/>
        </w:rPr>
        <w:t xml:space="preserve">Fugitive emissions monitoring: Quarterly optical gas imaging (OGI) inspections at well sites and compressor stations, with semi-annual monitoring as an alternative under certain conditions.</w:t>
      </w:r>
    </w:p>
    <w:p>
      <w:pPr>
        <w:pStyle w:val="ListParagraph"/>
        <w:numPr>
          <w:ilvl w:val="0"/>
          <w:numId w:val="2"/>
        </w:numPr>
        <w:spacing w:before="50" w:after="50"/>
      </w:pPr>
      <w:r>
        <w:rPr>
          <w:rFonts w:ascii="Arial" w:cs="Arial" w:eastAsia="Arial" w:hAnsi="Arial"/>
          <w:color w:val="1A1A1A"/>
          <w:sz w:val="22"/>
          <w:szCs w:val="22"/>
        </w:rPr>
        <w:t xml:space="preserve">Pneumatic controllers: Zero-emission standard — all pneumatic controllers at new/modified sources must meet zero-emission requirements. Compliance deadline extended to January 22, 2027 under the November 2025 final rule.</w:t>
      </w:r>
    </w:p>
    <w:p>
      <w:pPr>
        <w:pStyle w:val="ListParagraph"/>
        <w:numPr>
          <w:ilvl w:val="0"/>
          <w:numId w:val="2"/>
        </w:numPr>
        <w:spacing w:before="50" w:after="50"/>
      </w:pPr>
      <w:r>
        <w:rPr>
          <w:rFonts w:ascii="Arial" w:cs="Arial" w:eastAsia="Arial" w:hAnsi="Arial"/>
          <w:color w:val="1A1A1A"/>
          <w:sz w:val="22"/>
          <w:szCs w:val="22"/>
        </w:rPr>
        <w:t xml:space="preserve">Storage vessels: New and modified tanks with methane emissions above 20 tons per year must achieve 95% reduction. Storage vessel modification rules carry extended deadlines under the 2025 final rule.</w:t>
      </w:r>
    </w:p>
    <w:p>
      <w:pPr>
        <w:pStyle w:val="ListParagraph"/>
        <w:numPr>
          <w:ilvl w:val="0"/>
          <w:numId w:val="2"/>
        </w:numPr>
        <w:spacing w:before="50" w:after="50"/>
      </w:pPr>
      <w:r>
        <w:rPr>
          <w:rFonts w:ascii="Arial" w:cs="Arial" w:eastAsia="Arial" w:hAnsi="Arial"/>
          <w:color w:val="1A1A1A"/>
          <w:sz w:val="22"/>
          <w:szCs w:val="22"/>
        </w:rPr>
        <w:t xml:space="preserve">Flare monitoring: All flares and enclosed combustion devices (ECDs) must operate with a continuous pilot flame and install an alarm system to notify the nearest control room when the pilot flame is unlit. Compliance deadline: January 22, 2027.</w:t>
      </w:r>
    </w:p>
    <w:p>
      <w:pPr>
        <w:pStyle w:val="ListParagraph"/>
        <w:numPr>
          <w:ilvl w:val="0"/>
          <w:numId w:val="2"/>
        </w:numPr>
        <w:spacing w:before="50" w:after="50"/>
      </w:pPr>
      <w:r>
        <w:rPr>
          <w:rFonts w:ascii="Arial" w:cs="Arial" w:eastAsia="Arial" w:hAnsi="Arial"/>
          <w:color w:val="1A1A1A"/>
          <w:sz w:val="22"/>
          <w:szCs w:val="22"/>
        </w:rPr>
        <w:t xml:space="preserve">Annual reporting: Initial NSPS OOOOb Annual Reports are due no earlier than November 30, 2026 (extended from earlier dates under the November 2025 final rule).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4"/>
              <w:bottom w:val="single" w:color="D97706" w:sz="8"/>
              <w:right w:val="single" w:color="D97706" w:sz="8"/>
            </w:tcBorders>
            <w:shd w:fill="FEF3C7" w:val="clear"/>
            <w:tcMar>
              <w:top w:type="dxa" w:w="160"/>
              <w:left w:type="dxa" w:w="200"/>
              <w:bottom w:type="dxa" w:w="160"/>
              <w:right w:type="dxa" w:w="200"/>
            </w:tcMar>
          </w:tcPr>
          <w:p>
            <w:pPr>
              <w:spacing w:before="0" w:after="80"/>
            </w:pPr>
            <w:r>
              <w:rPr>
                <w:rFonts w:ascii="Arial" w:cs="Arial" w:eastAsia="Arial" w:hAnsi="Arial"/>
                <w:b/>
                <w:bCs/>
                <w:color w:val="D97706"/>
                <w:sz w:val="20"/>
                <w:szCs w:val="20"/>
              </w:rPr>
              <w:t xml:space="preserve">November 2025 Deadline Extension — What Operators Need to Know</w:t>
            </w:r>
          </w:p>
          <w:p>
            <w:pPr>
              <w:spacing w:before="40" w:after="40"/>
            </w:pPr>
            <w:r>
              <w:rPr>
                <w:rFonts w:ascii="Arial" w:cs="Arial" w:eastAsia="Arial" w:hAnsi="Arial"/>
                <w:color w:val="1A1A1A"/>
                <w:sz w:val="20"/>
                <w:szCs w:val="20"/>
              </w:rPr>
              <w:t xml:space="preserve">On November 26, 2025, EPA finalized the interim rule first issued in July 2025, confirming extended compliance deadlines for several OOOOb provisions. Key extensions:</w:t>
            </w:r>
          </w:p>
          <w:p>
            <w:pPr>
              <w:spacing w:before="40" w:after="40"/>
            </w:pPr>
            <w:r>
              <w:rPr>
                <w:rFonts w:ascii="Arial" w:cs="Arial" w:eastAsia="Arial" w:hAnsi="Arial"/>
                <w:color w:val="1A1A1A"/>
                <w:sz w:val="20"/>
                <w:szCs w:val="20"/>
              </w:rPr>
              <w:t xml:space="preserve">• Net heating value monitoring for flares and ECDs: Extended to June 1, 2026 (or 180 days after startup)</w:t>
            </w:r>
          </w:p>
          <w:p>
            <w:pPr>
              <w:spacing w:before="40" w:after="40"/>
            </w:pPr>
            <w:r>
              <w:rPr>
                <w:rFonts w:ascii="Arial" w:cs="Arial" w:eastAsia="Arial" w:hAnsi="Arial"/>
                <w:color w:val="1A1A1A"/>
                <w:sz w:val="20"/>
                <w:szCs w:val="20"/>
              </w:rPr>
              <w:t xml:space="preserve">• Performance tests on ECDs: Extended to January 22, 2027</w:t>
            </w:r>
          </w:p>
          <w:p>
            <w:pPr>
              <w:spacing w:before="40" w:after="40"/>
            </w:pPr>
            <w:r>
              <w:rPr>
                <w:rFonts w:ascii="Arial" w:cs="Arial" w:eastAsia="Arial" w:hAnsi="Arial"/>
                <w:color w:val="1A1A1A"/>
                <w:sz w:val="20"/>
                <w:szCs w:val="20"/>
              </w:rPr>
              <w:t xml:space="preserve">• Continuous pilot flame and alarm systems: Extended to January 22, 2027</w:t>
            </w:r>
          </w:p>
          <w:p>
            <w:pPr>
              <w:spacing w:before="40" w:after="40"/>
            </w:pPr>
            <w:r>
              <w:rPr>
                <w:rFonts w:ascii="Arial" w:cs="Arial" w:eastAsia="Arial" w:hAnsi="Arial"/>
                <w:color w:val="1A1A1A"/>
                <w:sz w:val="20"/>
                <w:szCs w:val="20"/>
              </w:rPr>
              <w:t xml:space="preserve">• Super Emitter Program implementation: Extended (date TBD by state plan submission)</w:t>
            </w:r>
          </w:p>
          <w:p>
            <w:pPr>
              <w:spacing w:before="40" w:after="40"/>
            </w:pPr>
            <w:r>
              <w:rPr>
                <w:rFonts w:ascii="Arial" w:cs="Arial" w:eastAsia="Arial" w:hAnsi="Arial"/>
                <w:color w:val="1A1A1A"/>
                <w:sz w:val="20"/>
                <w:szCs w:val="20"/>
              </w:rPr>
              <w:t xml:space="preserve">• Initial OOOOb Annual Reports: Due no earlier than November 30, 2026</w:t>
            </w:r>
          </w:p>
          <w:p>
            <w:pPr>
              <w:spacing w:before="40" w:after="40"/>
            </w:pPr>
            <w:r>
              <w:rPr>
                <w:rFonts w:ascii="Arial" w:cs="Arial" w:eastAsia="Arial" w:hAnsi="Arial"/>
                <w:color w:val="1A1A1A"/>
                <w:sz w:val="20"/>
                <w:szCs w:val="20"/>
              </w:rPr>
              <w:t xml:space="preserve">The substance of the standards has not changed — only the implementation timelines. The routine flaring prohibition for new wells (effective March 8, 2026) was NOT extended.</w:t>
            </w:r>
          </w:p>
        </w:tc>
      </w:tr>
    </w:tbl>
    <w:p>
      <w:pPr>
        <w:spacing w:before="0" w:after="80"/>
      </w:pPr>
      <w:r>
        <w:t xml:space="preserve"/>
      </w:r>
    </w:p>
    <w:p>
      <w:pPr>
        <w:pStyle w:val="Heading2"/>
        <w:spacing w:before="280" w:after="140"/>
      </w:pPr>
      <w:r>
        <w:rPr>
          <w:rFonts w:ascii="Arial" w:cs="Arial" w:eastAsia="Arial" w:hAnsi="Arial"/>
          <w:b/>
          <w:bCs/>
          <w:color w:val="0A0A0A"/>
          <w:sz w:val="26"/>
          <w:szCs w:val="26"/>
        </w:rPr>
        <w:t xml:space="preserve">2.3  EG OOOOc — Existing Sources</w:t>
      </w:r>
    </w:p>
    <w:p>
      <w:pPr>
        <w:spacing w:before="60" w:after="140"/>
        <w:jc w:val="both"/>
      </w:pPr>
      <w:r>
        <w:rPr>
          <w:rFonts w:ascii="Arial" w:cs="Arial" w:eastAsia="Arial" w:hAnsi="Arial"/>
          <w:color w:val="1A1A1A"/>
          <w:sz w:val="22"/>
          <w:szCs w:val="22"/>
        </w:rPr>
        <w:t xml:space="preserve">EG OOOOc establishes emissions guidelines for facilities constructed before December 6, 2022. Unlike NSPS OOOOb — which applies directly as a federal standard — OOOOc works through a state plan framework. States are required to submit plans to EPA demonstrating how they will achieve emissions reductions equal to or greater than the OOOOc presumptive standards for their existing sources.</w:t>
      </w:r>
    </w:p>
    <w:p>
      <w:pPr>
        <w:spacing w:before="60" w:after="140"/>
        <w:jc w:val="both"/>
      </w:pPr>
      <w:r>
        <w:rPr>
          <w:rFonts w:ascii="Arial" w:cs="Arial" w:eastAsia="Arial" w:hAnsi="Arial"/>
          <w:color w:val="1A1A1A"/>
          <w:sz w:val="22"/>
          <w:szCs w:val="22"/>
        </w:rPr>
        <w:t xml:space="preserve">Key milestones for EG OOOOc:</w:t>
      </w:r>
    </w:p>
    <w:p>
      <w:pPr>
        <w:pStyle w:val="ListParagraph"/>
        <w:numPr>
          <w:ilvl w:val="0"/>
          <w:numId w:val="2"/>
        </w:numPr>
        <w:spacing w:before="50" w:after="50"/>
      </w:pPr>
      <w:r>
        <w:rPr>
          <w:rFonts w:ascii="Arial" w:cs="Arial" w:eastAsia="Arial" w:hAnsi="Arial"/>
          <w:color w:val="1A1A1A"/>
          <w:sz w:val="22"/>
          <w:szCs w:val="22"/>
        </w:rPr>
        <w:t xml:space="preserve">State plan submission deadline: January 22, 2027 (extended by the November 2025 final rule from the original March 2026 deadline).</w:t>
      </w:r>
    </w:p>
    <w:p>
      <w:pPr>
        <w:pStyle w:val="ListParagraph"/>
        <w:numPr>
          <w:ilvl w:val="0"/>
          <w:numId w:val="2"/>
        </w:numPr>
        <w:spacing w:before="50" w:after="50"/>
      </w:pPr>
      <w:r>
        <w:rPr>
          <w:rFonts w:ascii="Arial" w:cs="Arial" w:eastAsia="Arial" w:hAnsi="Arial"/>
          <w:color w:val="1A1A1A"/>
          <w:sz w:val="22"/>
          <w:szCs w:val="22"/>
        </w:rPr>
        <w:t xml:space="preserve">Full industry compliance under state plans: Required by 2029.</w:t>
      </w:r>
    </w:p>
    <w:p>
      <w:pPr>
        <w:pStyle w:val="ListParagraph"/>
        <w:numPr>
          <w:ilvl w:val="0"/>
          <w:numId w:val="2"/>
        </w:numPr>
        <w:spacing w:before="50" w:after="50"/>
      </w:pPr>
      <w:r>
        <w:rPr>
          <w:rFonts w:ascii="Arial" w:cs="Arial" w:eastAsia="Arial" w:hAnsi="Arial"/>
          <w:color w:val="1A1A1A"/>
          <w:sz w:val="22"/>
          <w:szCs w:val="22"/>
        </w:rPr>
        <w:t xml:space="preserve">If a state does not submit an adequate plan, EPA may promulgate a federal plan for existing sources in that state.</w:t>
      </w:r>
    </w:p>
    <w:p>
      <w:pPr>
        <w:spacing w:before="60" w:after="140"/>
        <w:jc w:val="both"/>
      </w:pPr>
      <w:r>
        <w:rPr>
          <w:rFonts w:ascii="Arial" w:cs="Arial" w:eastAsia="Arial" w:hAnsi="Arial"/>
          <w:color w:val="1A1A1A"/>
          <w:sz w:val="22"/>
          <w:szCs w:val="22"/>
        </w:rPr>
        <w:t xml:space="preserve">What this means for operators: OOOOc compliance obligations for existing facilities will ultimately be set by your state's approved plan. Some states (Colorado, California) are expected to adopt standards at least as stringent as OOOOc presumptive standards. Others may adopt more operator-friendly alternatives. Monitoring state plan development is essential for facilities with significant existing source exposure.</w:t>
      </w:r>
    </w:p>
    <w:p>
      <w:pPr>
        <w:pStyle w:val="Heading2"/>
        <w:spacing w:before="280" w:after="140"/>
      </w:pPr>
      <w:r>
        <w:rPr>
          <w:rFonts w:ascii="Arial" w:cs="Arial" w:eastAsia="Arial" w:hAnsi="Arial"/>
          <w:b/>
          <w:bCs/>
          <w:color w:val="0A0A0A"/>
          <w:sz w:val="26"/>
          <w:szCs w:val="26"/>
        </w:rPr>
        <w:t xml:space="preserve">2.4  The Waste Emissions Charge — Current Status</w:t>
      </w:r>
    </w:p>
    <w:p>
      <w:pPr>
        <w:spacing w:before="60" w:after="140"/>
        <w:jc w:val="both"/>
      </w:pPr>
      <w:r>
        <w:rPr>
          <w:rFonts w:ascii="Arial" w:cs="Arial" w:eastAsia="Arial" w:hAnsi="Arial"/>
          <w:color w:val="1A1A1A"/>
          <w:sz w:val="22"/>
          <w:szCs w:val="22"/>
        </w:rPr>
        <w:t xml:space="preserve">The Inflation Reduction Act established a Waste Emissions Charge (WEC) on methane emissions from oil and gas sources, originally structured as $900/ton in 2024, $1,200/ton in 2025, and $1,500/ton in 2026 and beyond. The WEC would have applied to facilities whose reported methane emissions exceeded a defined threshold.</w:t>
      </w:r>
    </w:p>
    <w:p>
      <w:pPr>
        <w:spacing w:before="60" w:after="140"/>
        <w:jc w:val="both"/>
      </w:pPr>
      <w:r>
        <w:rPr>
          <w:rFonts w:ascii="Arial" w:cs="Arial" w:eastAsia="Arial" w:hAnsi="Arial"/>
          <w:color w:val="1A1A1A"/>
          <w:sz w:val="22"/>
          <w:szCs w:val="22"/>
        </w:rPr>
        <w:t xml:space="preserve">Current status: The Congressional Review Act was used in March 2025 to prohibit EPA from collecting the Waste Emissions Charge until 2034. The WEC fee obligation is currently suspended. Operators are not required to pay methane fees under the IRA program at this time. However, the underlying OOOOb/c emissions standards remain in place — the WEC repeal does not affect the Clean Air Act emission requirements.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OOOOb/c Provision</w:t>
            </w:r>
          </w:p>
        </w:tc>
        <w:tc>
          <w:tcPr>
            <w:tcW w:type="dxa" w:w="24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Applies To</w:t>
            </w:r>
          </w:p>
        </w:tc>
        <w:tc>
          <w:tcPr>
            <w:tcW w:type="dxa" w:w="2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Deadline</w:t>
            </w:r>
          </w:p>
        </w:tc>
        <w:tc>
          <w:tcPr>
            <w:tcW w:type="dxa" w:w="17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Routine flaring prohibition (new wells)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sources post-Dec 6 2022</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8, 2026</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 No extension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Fugitive emissions monitoring (OGI)</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New/modified sources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Upon startup / May 7 2024</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 effect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Zero-emission pneumatic controllers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sources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22, 2027</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Storage vessel 95% methane reduction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New sources &gt;20 TPY</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January 22, 2027</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Flare pilot flame + alarm system</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flares/ECDs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22, 2027</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Net heating value flare monitoring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New flares/ECDs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June 1, 2026</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ECD performance tests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flares/ECDs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22, 2027</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OOOOb Annual Reports (initial)</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All new/modified sources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November 30, 2026</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plan submission (OOOOc)</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States/existing sources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January 22, 2027</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Extended (Nov 2025)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Full OOOOc compliance (existing)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Existing sources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~2029</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Pending state plans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Waste Emissions Charge (WEC)</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High-emitting facilities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Suspended until 2034</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Repealed by CRA (Mar 2025)</w:t>
            </w:r>
          </w:p>
        </w:tc>
      </w:tr>
    </w:tbl>
    <w:p>
      <w:pPr>
        <w:spacing w:before="60" w:after="160"/>
        <w:jc w:val="center"/>
      </w:pPr>
      <w:r>
        <w:rPr>
          <w:rFonts w:ascii="Arial" w:cs="Arial" w:eastAsia="Arial" w:hAnsi="Arial"/>
          <w:i/>
          <w:iCs/>
          <w:color w:val="4B5563"/>
          <w:sz w:val="18"/>
          <w:szCs w:val="18"/>
        </w:rPr>
        <w:t xml:space="preserve">Sources: EPA OOOOb/c Final Rules (March 2024, November 2025); Congressional Review Act (March 2025). Dates as of January 2026.</w:t>
      </w:r>
    </w:p>
    <w:p>
      <w:pPr>
        <w:spacing w:before="0" w:after="80"/>
      </w:pPr>
      <w:r>
        <w:t xml:space="preserve"/>
      </w:r>
    </w:p>
    <w:p>
      <w:r>
        <w:br w:type="page"/>
      </w:r>
    </w:p>
    <w:p>
      <w:pPr>
        <w:pStyle w:val="Heading1"/>
        <w:spacing w:before="360" w:after="200"/>
      </w:pPr>
      <w:r>
        <w:rPr>
          <w:rFonts w:ascii="Arial" w:cs="Arial" w:eastAsia="Arial" w:hAnsi="Arial"/>
          <w:b/>
          <w:bCs/>
          <w:color w:val="0A0A0A"/>
          <w:sz w:val="36"/>
          <w:szCs w:val="36"/>
        </w:rPr>
        <w:t xml:space="preserve">3. State-by-State Regulatory Summary</w:t>
      </w:r>
    </w:p>
    <w:p>
      <w:pPr>
        <w:pBdr>
          <w:bottom w:val="single" w:color="F97316" w:sz="12" w:space="1"/>
        </w:pBdr>
        <w:spacing w:before="160" w:after="160"/>
      </w:pPr>
    </w:p>
    <w:p>
      <w:pPr>
        <w:spacing w:before="60" w:after="140"/>
        <w:jc w:val="both"/>
      </w:pPr>
      <w:r>
        <w:rPr>
          <w:rFonts w:ascii="Arial" w:cs="Arial" w:eastAsia="Arial" w:hAnsi="Arial"/>
          <w:color w:val="1A1A1A"/>
          <w:sz w:val="22"/>
          <w:szCs w:val="22"/>
        </w:rPr>
        <w:t xml:space="preserve">Federal OOOOb standards set a baseline, but state regulations often carry greater day-to-day compliance weight for operators. The six states covered here — Texas, North Dakota, Colorado, New Mexico, Wyoming, and Montana — account for approximately 85% of US flaring volume and contain the majority of active on-lease deployment opportunities.</w:t>
      </w:r>
    </w:p>
    <w:p>
      <w:pPr>
        <w:spacing w:before="0" w:after="80"/>
      </w:pPr>
      <w:r>
        <w:t xml:space="preserve"/>
      </w:r>
    </w:p>
    <w:p>
      <w:pPr>
        <w:spacing w:before="220" w:after="100"/>
      </w:pPr>
      <w:r>
        <w:rPr>
          <w:rFonts w:ascii="Arial" w:cs="Arial" w:eastAsia="Arial" w:hAnsi="Arial"/>
          <w:b/>
          <w:bCs/>
          <w:color w:val="F97316"/>
          <w:sz w:val="22"/>
          <w:szCs w:val="22"/>
        </w:rPr>
        <w:t xml:space="preserve">Texas — Texas Railroad Commission (RRC) and TCEQ</w:t>
      </w:r>
    </w:p>
    <w:p>
      <w:pPr>
        <w:spacing w:before="0" w:after="60"/>
      </w:pPr>
      <w:r>
        <w:rPr>
          <w:rFonts w:ascii="Arial" w:cs="Arial" w:eastAsia="Arial" w:hAnsi="Arial"/>
          <w:b/>
          <w:bCs/>
          <w:color w:val="F97316"/>
          <w:spacing w:val="80"/>
          <w:sz w:val="16"/>
          <w:szCs w:val="16"/>
        </w:rPr>
        <w:t xml:space="preserve">PRIMARY REGULATORS: RRC · TCEQ</w:t>
      </w:r>
    </w:p>
    <w:p>
      <w:pPr>
        <w:spacing w:before="0" w:after="60"/>
      </w:pPr>
      <w:r>
        <w:t xml:space="preserve"/>
      </w:r>
    </w:p>
    <w:p>
      <w:pPr>
        <w:spacing w:before="60" w:after="140"/>
        <w:jc w:val="both"/>
      </w:pPr>
      <w:r>
        <w:rPr>
          <w:rFonts w:ascii="Arial" w:cs="Arial" w:eastAsia="Arial" w:hAnsi="Arial"/>
          <w:color w:val="1A1A1A"/>
          <w:sz w:val="22"/>
          <w:szCs w:val="22"/>
        </w:rPr>
        <w:t xml:space="preserve">Texas regulates flaring through a dual-agency framework. The Texas Railroad Commission (RRC) governs well operations and issues flaring authorizations and exceptions from a conservation and mineral resource perspective. The Texas Commission on Environmental Quality (TCEQ) regulates air emissions, including VOC and methane emissions from flares, under its air permitting program.</w:t>
      </w:r>
    </w:p>
    <w:p>
      <w:pPr>
        <w:spacing w:before="60" w:after="140"/>
        <w:jc w:val="both"/>
      </w:pPr>
      <w:r>
        <w:rPr>
          <w:rFonts w:ascii="Arial" w:cs="Arial" w:eastAsia="Arial" w:hAnsi="Arial"/>
          <w:color w:val="1A1A1A"/>
          <w:sz w:val="22"/>
          <w:szCs w:val="22"/>
        </w:rPr>
        <w:t xml:space="preserve">Flaring framework: Texas historically has been one of the more permissive flaring states, in part because the RRC's statutory mandate focuses on waste prevention rather than environmental harm. Routine flaring of associated gas can be authorized by RRC permit for an initial 45-day period. Extensions are available but require demonstrated economic infeasibility of gas capture. The RRC has issued thousands of exceptions annually in the Permian Basin.</w:t>
      </w:r>
    </w:p>
    <w:p>
      <w:pPr>
        <w:spacing w:before="60" w:after="140"/>
        <w:jc w:val="both"/>
      </w:pPr>
      <w:r>
        <w:rPr>
          <w:rFonts w:ascii="Arial" w:cs="Arial" w:eastAsia="Arial" w:hAnsi="Arial"/>
          <w:color w:val="1A1A1A"/>
          <w:sz w:val="22"/>
          <w:szCs w:val="22"/>
        </w:rPr>
        <w:t xml:space="preserve">TCEQ air permitting: Operators must obtain TCEQ authorization for flares. Options include Permits by Rule (PBR) under 30 TAC Section 106.492 for smokeless gas flares meeting specific conditions, or New Source Review (NSR) permits for larger or non-standard flaring operations. TCEQ flare permits require recordkeeping maintained on-site and available for inspection.</w:t>
      </w:r>
    </w:p>
    <w:p>
      <w:pPr>
        <w:spacing w:before="60" w:after="140"/>
        <w:jc w:val="both"/>
      </w:pPr>
      <w:r>
        <w:rPr>
          <w:rFonts w:ascii="Arial" w:cs="Arial" w:eastAsia="Arial" w:hAnsi="Arial"/>
          <w:color w:val="1A1A1A"/>
          <w:sz w:val="22"/>
          <w:szCs w:val="22"/>
        </w:rPr>
        <w:t xml:space="preserve">OOOOc state plan: TCEQ is developing its state implementation plan for existing sources under OOOOc. As of early 2026, TCEQ had not submitted a final plan to EPA. The extended state plan deadline of January 22, 2027 provides additional runway, but TCEQ rulemaking activity suggests the plan will adopt standards broadly consistent with the OOOOc presumptive standards.</w:t>
      </w:r>
    </w:p>
    <w:p>
      <w:pPr>
        <w:spacing w:before="60" w:after="140"/>
        <w:jc w:val="both"/>
      </w:pPr>
      <w:r>
        <w:rPr>
          <w:rFonts w:ascii="Arial" w:cs="Arial" w:eastAsia="Arial" w:hAnsi="Arial"/>
          <w:color w:val="1A1A1A"/>
          <w:sz w:val="22"/>
          <w:szCs w:val="22"/>
        </w:rPr>
        <w:t xml:space="preserve">Enforcement trend: RRC enforcement actions related to flaring have increased moderately since 2022. More significant is the pattern of large operators in the Permian facing heightened scrutiny on exception renewals — the automatic issuance of continued flaring authorizations that was common pre-2022 is no longer guaranteed.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Texas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Flaring volume (est.)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~5.2 bcm/year (primarily Permian)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Primary flaring regulator</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Texas Railroad Commission (RRC)</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Air emissions regulator</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Texas Commission on Environmental Quality (TCEQ)</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Routine flare permit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RRC authorization; 45-day initial, extensions available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Air permit type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PBR 106.492 (smokeless flares) or NSR permit</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OOOOc state plan status</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 development; stakeholder process ongoing as of Jan 2026</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Enforcement trend</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Increasing scrutiny on exception renewals; elevated since 2022</w:t>
            </w:r>
          </w:p>
        </w:tc>
      </w:tr>
    </w:tbl>
    <w:p>
      <w:pPr>
        <w:spacing w:before="0" w:after="120"/>
      </w:pPr>
      <w:r>
        <w:t xml:space="preserve"/>
      </w:r>
    </w:p>
    <w:p>
      <w:pPr>
        <w:spacing w:before="220" w:after="100"/>
      </w:pPr>
      <w:r>
        <w:rPr>
          <w:rFonts w:ascii="Arial" w:cs="Arial" w:eastAsia="Arial" w:hAnsi="Arial"/>
          <w:b/>
          <w:bCs/>
          <w:color w:val="F97316"/>
          <w:sz w:val="22"/>
          <w:szCs w:val="22"/>
        </w:rPr>
        <w:t xml:space="preserve">North Dakota — NDIC and ND DEQ Division of Air Quality</w:t>
      </w:r>
    </w:p>
    <w:p>
      <w:pPr>
        <w:spacing w:before="0" w:after="60"/>
      </w:pPr>
      <w:r>
        <w:rPr>
          <w:rFonts w:ascii="Arial" w:cs="Arial" w:eastAsia="Arial" w:hAnsi="Arial"/>
          <w:b/>
          <w:bCs/>
          <w:color w:val="F97316"/>
          <w:spacing w:val="80"/>
          <w:sz w:val="16"/>
          <w:szCs w:val="16"/>
        </w:rPr>
        <w:t xml:space="preserve">PRIMARY REGULATORS: NDIC · ND DEQ / DIVISION OF AIR QUALITY</w:t>
      </w:r>
    </w:p>
    <w:p>
      <w:pPr>
        <w:spacing w:before="0" w:after="60"/>
      </w:pPr>
      <w:r>
        <w:t xml:space="preserve"/>
      </w:r>
    </w:p>
    <w:p>
      <w:pPr>
        <w:spacing w:before="60" w:after="140"/>
        <w:jc w:val="both"/>
      </w:pPr>
      <w:r>
        <w:rPr>
          <w:rFonts w:ascii="Arial" w:cs="Arial" w:eastAsia="Arial" w:hAnsi="Arial"/>
          <w:color w:val="1A1A1A"/>
          <w:sz w:val="22"/>
          <w:szCs w:val="22"/>
        </w:rPr>
        <w:t xml:space="preserve">North Dakota operates a two-regulator system similar to Texas but with stricter capture mandates. The North Dakota Industrial Commission (NDIC) governs gas capture targets and well-level flaring volumes under NDAC 43-02-03 and NDIC Order 24665. The Division of Air Quality (DAQ) under the ND Department of Environmental Quality regulates flare emissions and air permits.</w:t>
      </w:r>
    </w:p>
    <w:p>
      <w:pPr>
        <w:spacing w:before="60" w:after="140"/>
        <w:jc w:val="both"/>
      </w:pPr>
      <w:r>
        <w:rPr>
          <w:rFonts w:ascii="Arial" w:cs="Arial" w:eastAsia="Arial" w:hAnsi="Arial"/>
          <w:color w:val="1A1A1A"/>
          <w:sz w:val="22"/>
          <w:szCs w:val="22"/>
        </w:rPr>
        <w:t xml:space="preserve">Gas capture framework: NDIC Order 24665 established gas capture percentage targets that have progressively tightened since 2014. The current capture target is 91% of produced associated gas at the statewide level — meaning no more than 9% of gas produced may be flared. Wells may apply for individual exemptions if pipeline connection is economically infeasible, but exemption criteria now include documentation that on-site beneficial use (including electricity generation) is not economically feasible. This provision is directly relevant to gas-to-hash deployment: operators seeking a flaring exemption may need to demonstrate they evaluated and rejected on-lease power generation before the exemption is granted.</w:t>
      </w:r>
    </w:p>
    <w:p>
      <w:pPr>
        <w:spacing w:before="60" w:after="140"/>
        <w:jc w:val="both"/>
      </w:pPr>
      <w:r>
        <w:rPr>
          <w:rFonts w:ascii="Arial" w:cs="Arial" w:eastAsia="Arial" w:hAnsi="Arial"/>
          <w:color w:val="1A1A1A"/>
          <w:sz w:val="22"/>
          <w:szCs w:val="22"/>
        </w:rPr>
        <w:t xml:space="preserve">Well-level flaring timeline: Under North Dakota Century Code Section 38-08-06.4, flaring from oil wells is permitted for up to one year from first production. After one year, operators must either connect to a gathering system, use the gas on-site, or shut in the well. Continued flaring requires NDIC approval of an exemption.</w:t>
      </w:r>
    </w:p>
    <w:p>
      <w:pPr>
        <w:spacing w:before="60" w:after="140"/>
        <w:jc w:val="both"/>
      </w:pPr>
      <w:r>
        <w:rPr>
          <w:rFonts w:ascii="Arial" w:cs="Arial" w:eastAsia="Arial" w:hAnsi="Arial"/>
          <w:color w:val="1A1A1A"/>
          <w:sz w:val="22"/>
          <w:szCs w:val="22"/>
        </w:rPr>
        <w:t xml:space="preserve">Air quality: DAQ requires all new wells to have a minimum of a pit flare with 90% Destruction and Removal Efficiency (DRE) from first production. Higher-emission facilities may require enhanced controls. DAQ regulations are substantially based on EPA NSPS requirements and incorporate OOOOb standards for new sources.</w:t>
      </w:r>
    </w:p>
    <w:p>
      <w:pPr>
        <w:spacing w:before="60" w:after="140"/>
        <w:jc w:val="both"/>
      </w:pPr>
      <w:r>
        <w:rPr>
          <w:rFonts w:ascii="Arial" w:cs="Arial" w:eastAsia="Arial" w:hAnsi="Arial"/>
          <w:color w:val="1A1A1A"/>
          <w:sz w:val="22"/>
          <w:szCs w:val="22"/>
        </w:rPr>
        <w:t xml:space="preserve">Exemption criteria: The exemption application process under NDAC 43-02-03-60.2 requires operators to demonstrate that pipeline connection is economically infeasible based on gas volume, reserve estimates, and connection costs. Critically, the rule also requires documentation that it is economically infeasible to equip the well with an electrical generator to produce electricity from gas. Operators who cannot make this showing face heightened risk of exemption denial.</w:t>
      </w:r>
    </w:p>
    <w:p>
      <w:pPr>
        <w:spacing w:before="60" w:after="140"/>
        <w:jc w:val="both"/>
      </w:pPr>
      <w:r>
        <w:rPr>
          <w:rFonts w:ascii="Arial" w:cs="Arial" w:eastAsia="Arial" w:hAnsi="Arial"/>
          <w:color w:val="1A1A1A"/>
          <w:sz w:val="22"/>
          <w:szCs w:val="22"/>
        </w:rPr>
        <w:t xml:space="preserve">Enforcement trend: NDIC has been tightening its exemption review process since 2020. DAQ has increased site inspection activity following a 2020 compliance alert identifying widespread problems with flare equipment. Both agencies have the authority to impose monetary and non-monetary penalties for non-compliance.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North Dakota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Flaring volume (est.)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~3.1 bcm/year (primarily Bakken)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Flare rate</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~5–7% of gas production (highest of major US basins)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Gas capture target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91% of produced associated gas (NDIC Order 24665)</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Flaring window</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 to 1 year from first production; exemptions after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Exemption requirement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show pipeline connection AND on-site power generation economically infeasible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Air permit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 DEQ GP-OG General Permit; 90% DRE minimum from first production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OOOOc state plan status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 extended deadline January 22, 2027</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Enforcement trend</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Increasing; exemption renewals subject to greater scrutiny</w:t>
            </w:r>
          </w:p>
        </w:tc>
      </w:tr>
    </w:tbl>
    <w:p>
      <w:pPr>
        <w:spacing w:before="0" w:after="120"/>
      </w:pPr>
      <w:r>
        <w:t xml:space="preserve"/>
      </w:r>
    </w:p>
    <w:p>
      <w:pPr>
        <w:spacing w:before="220" w:after="100"/>
      </w:pPr>
      <w:r>
        <w:rPr>
          <w:rFonts w:ascii="Arial" w:cs="Arial" w:eastAsia="Arial" w:hAnsi="Arial"/>
          <w:b/>
          <w:bCs/>
          <w:color w:val="F97316"/>
          <w:sz w:val="22"/>
          <w:szCs w:val="22"/>
        </w:rPr>
        <w:t xml:space="preserve">Colorado — COGCC (Rule 912)</w:t>
      </w:r>
    </w:p>
    <w:p>
      <w:pPr>
        <w:spacing w:before="0" w:after="60"/>
      </w:pPr>
      <w:r>
        <w:rPr>
          <w:rFonts w:ascii="Arial" w:cs="Arial" w:eastAsia="Arial" w:hAnsi="Arial"/>
          <w:b/>
          <w:bCs/>
          <w:color w:val="F97316"/>
          <w:spacing w:val="80"/>
          <w:sz w:val="16"/>
          <w:szCs w:val="16"/>
        </w:rPr>
        <w:t xml:space="preserve">PRIMARY REGULATOR: COLORADO OIL AND GAS CONSERVATION COMMISSION (COGCC)</w:t>
      </w:r>
    </w:p>
    <w:p>
      <w:pPr>
        <w:spacing w:before="0" w:after="60"/>
      </w:pPr>
      <w:r>
        <w:t xml:space="preserve"/>
      </w:r>
    </w:p>
    <w:p>
      <w:pPr>
        <w:spacing w:before="60" w:after="140"/>
        <w:jc w:val="both"/>
      </w:pPr>
      <w:r>
        <w:rPr>
          <w:rFonts w:ascii="Arial" w:cs="Arial" w:eastAsia="Arial" w:hAnsi="Arial"/>
          <w:color w:val="1A1A1A"/>
          <w:sz w:val="22"/>
          <w:szCs w:val="22"/>
        </w:rPr>
        <w:t xml:space="preserve">Colorado has the most stringent flaring regime of the six states in this briefing — and it largely shows. Colorado's statewide flare rate is under 1% of gas production, one of the lowest of any oil-producing state in the US. The framework is anchored by Senate Bill 181 (2019), which directed COGCC to regulate oil and gas development with the protection of public health and the environment as its primary mandate — a fundamental shift from the previous conservation-first framework.</w:t>
      </w:r>
    </w:p>
    <w:p>
      <w:pPr>
        <w:spacing w:before="60" w:after="140"/>
        <w:jc w:val="both"/>
      </w:pPr>
      <w:r>
        <w:rPr>
          <w:rFonts w:ascii="Arial" w:cs="Arial" w:eastAsia="Arial" w:hAnsi="Arial"/>
          <w:color w:val="1A1A1A"/>
          <w:sz w:val="22"/>
          <w:szCs w:val="22"/>
        </w:rPr>
        <w:t xml:space="preserve">COGCC Rule 912: The primary rule governing flaring and venting. Rule 912 prohibits unnecessary or excessive venting or flaring from a well. Natural gas from oil and gas wells must be captured, used as fuel, or conserved to the extent reasonably practicable. New production facilities must implement gas capture plans prior to commencement of production. Flaring during production — as opposed to during well completion operations — is permitted only under specific, documented circumstances.</w:t>
      </w:r>
    </w:p>
    <w:p>
      <w:pPr>
        <w:spacing w:before="60" w:after="140"/>
        <w:jc w:val="both"/>
      </w:pPr>
      <w:r>
        <w:rPr>
          <w:rFonts w:ascii="Arial" w:cs="Arial" w:eastAsia="Arial" w:hAnsi="Arial"/>
          <w:color w:val="1A1A1A"/>
          <w:sz w:val="22"/>
          <w:szCs w:val="22"/>
        </w:rPr>
        <w:t xml:space="preserve">New well requirements: Operators must demonstrate a gas capture plan before receiving a production permit. The plan must identify how associated gas will be handled and specify the timeline for permanent capture infrastructure. This front-loading of the compliance burden means that the DJ Basin's low flare rate reflects structural regulatory architecture rather than voluntary operator action.</w:t>
      </w:r>
    </w:p>
    <w:p>
      <w:pPr>
        <w:spacing w:before="60" w:after="140"/>
        <w:jc w:val="both"/>
      </w:pPr>
      <w:r>
        <w:rPr>
          <w:rFonts w:ascii="Arial" w:cs="Arial" w:eastAsia="Arial" w:hAnsi="Arial"/>
          <w:color w:val="1A1A1A"/>
          <w:sz w:val="22"/>
          <w:szCs w:val="22"/>
        </w:rPr>
        <w:t xml:space="preserve">OOOOc implications: Colorado is expected to be among the first states to submit an OOOOc state plan, and it is likely to adopt standards at least as stringent as the federal presumptive standards. Colorado has a history of moving ahead of the federal minimum on oil and gas environmental regulation.</w:t>
      </w:r>
    </w:p>
    <w:p>
      <w:pPr>
        <w:spacing w:before="60" w:after="140"/>
        <w:jc w:val="both"/>
      </w:pPr>
      <w:r>
        <w:rPr>
          <w:rFonts w:ascii="Arial" w:cs="Arial" w:eastAsia="Arial" w:hAnsi="Arial"/>
          <w:color w:val="1A1A1A"/>
          <w:sz w:val="22"/>
          <w:szCs w:val="22"/>
        </w:rPr>
        <w:t xml:space="preserve">The DJ Basin's primary gas monetization problem is not active flaring: it is marginally economic gas from late-life or remote wells where pipeline economics are negative and capture is already required. On-lease beneficial use — converting wellhead gas to electricity for on-site compute — is a natural fit for this regulatory environment.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Colorado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Flaring volume (est.)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~0.6 bcm/year</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Flare rate</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&lt;1% of gas production (one of lowest in US)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rule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COGCC Rule 912 — prohibits unnecessary flaring; capture plans required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New well requirement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Gas capture plan required before production permit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posture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restrictive of major oil-producing states; SB181 framework</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OOOOc state plan status</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Expected early submission; likely to exceed federal minimums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opportunity profile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Low-netback / negative-netback wells with no pipeline economics</w:t>
            </w:r>
          </w:p>
        </w:tc>
      </w:tr>
    </w:tbl>
    <w:p>
      <w:pPr>
        <w:spacing w:before="0" w:after="120"/>
      </w:pPr>
      <w:r>
        <w:t xml:space="preserve"/>
      </w:r>
    </w:p>
    <w:p>
      <w:pPr>
        <w:spacing w:before="220" w:after="100"/>
      </w:pPr>
      <w:r>
        <w:rPr>
          <w:rFonts w:ascii="Arial" w:cs="Arial" w:eastAsia="Arial" w:hAnsi="Arial"/>
          <w:b/>
          <w:bCs/>
          <w:color w:val="F97316"/>
          <w:sz w:val="22"/>
          <w:szCs w:val="22"/>
        </w:rPr>
        <w:t xml:space="preserve">New Mexico — NMOCD and NMED</w:t>
      </w:r>
    </w:p>
    <w:p>
      <w:pPr>
        <w:spacing w:before="0" w:after="60"/>
      </w:pPr>
      <w:r>
        <w:rPr>
          <w:rFonts w:ascii="Arial" w:cs="Arial" w:eastAsia="Arial" w:hAnsi="Arial"/>
          <w:b/>
          <w:bCs/>
          <w:color w:val="F97316"/>
          <w:spacing w:val="80"/>
          <w:sz w:val="16"/>
          <w:szCs w:val="16"/>
        </w:rPr>
        <w:t xml:space="preserve">PRIMARY REGULATORS: NM OIL CONSERVATION DIVISION (OCD) · NM ENVIRONMENT DEPARTMENT (NMED)</w:t>
      </w:r>
    </w:p>
    <w:p>
      <w:pPr>
        <w:spacing w:before="0" w:after="60"/>
      </w:pPr>
      <w:r>
        <w:t xml:space="preserve"/>
      </w:r>
    </w:p>
    <w:p>
      <w:pPr>
        <w:spacing w:before="60" w:after="140"/>
        <w:jc w:val="both"/>
      </w:pPr>
      <w:r>
        <w:rPr>
          <w:rFonts w:ascii="Arial" w:cs="Arial" w:eastAsia="Arial" w:hAnsi="Arial"/>
          <w:color w:val="1A1A1A"/>
          <w:sz w:val="22"/>
          <w:szCs w:val="22"/>
        </w:rPr>
        <w:t xml:space="preserve">New Mexico is the second-most active Permian Basin state and has moved aggressively to reduce flaring since 2019. The Oil Conservation Division (OCD) under the Energy, Minerals and Natural Resources Department regulates flaring from a conservation standpoint. The New Mexico Environment Department (NMED) handles air quality permitting.</w:t>
      </w:r>
    </w:p>
    <w:p>
      <w:pPr>
        <w:spacing w:before="60" w:after="140"/>
        <w:jc w:val="both"/>
      </w:pPr>
      <w:r>
        <w:rPr>
          <w:rFonts w:ascii="Arial" w:cs="Arial" w:eastAsia="Arial" w:hAnsi="Arial"/>
          <w:color w:val="1A1A1A"/>
          <w:sz w:val="22"/>
          <w:szCs w:val="22"/>
        </w:rPr>
        <w:t xml:space="preserve">Flaring regulations: New Mexico Administrative Code 19.15.20 NMAC establishes rules for oil and gas waste prevention, including restrictions on gas flaring and venting. Routine flaring of casinghead gas is permitted for the first 30 days of production (significantly shorter than North Dakota's one-year window). Extensions may be granted but require demonstration that capture is not feasible. The OCD has been more aggressive than Texas in denying or shortening extension requests since 2021.</w:t>
      </w:r>
    </w:p>
    <w:p>
      <w:pPr>
        <w:spacing w:before="60" w:after="140"/>
        <w:jc w:val="both"/>
      </w:pPr>
      <w:r>
        <w:rPr>
          <w:rFonts w:ascii="Arial" w:cs="Arial" w:eastAsia="Arial" w:hAnsi="Arial"/>
          <w:color w:val="1A1A1A"/>
          <w:sz w:val="22"/>
          <w:szCs w:val="22"/>
        </w:rPr>
        <w:t xml:space="preserve">Methane waste rules: New Mexico finalized its own comprehensive methane waste rules in 2021, which require operators to capture at least 98% of produced gas by 2026. This state-level 98% capture target — more stringent than the current NDIC target and tighter than any other major producing state — is the most significant number for Permian operators in New Mexico. Sites that cannot achieve 98% capture through pipeline or other means face real enforcement exposure.</w:t>
      </w:r>
    </w:p>
    <w:p>
      <w:pPr>
        <w:spacing w:before="60" w:after="140"/>
        <w:jc w:val="both"/>
      </w:pPr>
      <w:r>
        <w:rPr>
          <w:rFonts w:ascii="Arial" w:cs="Arial" w:eastAsia="Arial" w:hAnsi="Arial"/>
          <w:color w:val="1A1A1A"/>
          <w:sz w:val="22"/>
          <w:szCs w:val="22"/>
        </w:rPr>
        <w:t xml:space="preserve">Enforcement: New Mexico OCD has issued notices of violation and penalties for flaring violations at an increasing rate since 2021. The state has stated publicly that it views flaring enforcement as a priority and has hired additional enforcement staff.</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New Mexico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Flaring volume (est.)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 bcm/year (Delaware Basin, Permian)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Initial flaring window</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30 days from first production (vs. 1 year in ND)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target</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98% by 2026 (most stringent major state)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Regulatory posture</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Aggressively enforced since 2021; increasing NOV activity</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OOOOc state plan status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NM expected to submit plan; likely stringent standards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Key risk</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98% capture target creates immediate compliance urgency for non-pipeline sites</w:t>
            </w:r>
          </w:p>
        </w:tc>
      </w:tr>
    </w:tbl>
    <w:p>
      <w:pPr>
        <w:spacing w:before="0" w:after="120"/>
      </w:pPr>
      <w:r>
        <w:t xml:space="preserve"/>
      </w:r>
    </w:p>
    <w:p>
      <w:pPr>
        <w:spacing w:before="220" w:after="100"/>
      </w:pPr>
      <w:r>
        <w:rPr>
          <w:rFonts w:ascii="Arial" w:cs="Arial" w:eastAsia="Arial" w:hAnsi="Arial"/>
          <w:b/>
          <w:bCs/>
          <w:color w:val="F97316"/>
          <w:sz w:val="22"/>
          <w:szCs w:val="22"/>
        </w:rPr>
        <w:t xml:space="preserve">Wyoming — Wyoming DEQ / Air Quality Division</w:t>
      </w:r>
    </w:p>
    <w:p>
      <w:pPr>
        <w:spacing w:before="0" w:after="60"/>
      </w:pPr>
      <w:r>
        <w:rPr>
          <w:rFonts w:ascii="Arial" w:cs="Arial" w:eastAsia="Arial" w:hAnsi="Arial"/>
          <w:b/>
          <w:bCs/>
          <w:color w:val="F97316"/>
          <w:spacing w:val="80"/>
          <w:sz w:val="16"/>
          <w:szCs w:val="16"/>
        </w:rPr>
        <w:t xml:space="preserve">PRIMARY REGULATOR: WYOMING DEPARTMENT OF ENVIRONMENTAL QUALITY (WDEQ)</w:t>
      </w:r>
    </w:p>
    <w:p>
      <w:pPr>
        <w:spacing w:before="0" w:after="60"/>
      </w:pPr>
      <w:r>
        <w:t xml:space="preserve"/>
      </w:r>
    </w:p>
    <w:p>
      <w:pPr>
        <w:spacing w:before="60" w:after="140"/>
        <w:jc w:val="both"/>
      </w:pPr>
      <w:r>
        <w:rPr>
          <w:rFonts w:ascii="Arial" w:cs="Arial" w:eastAsia="Arial" w:hAnsi="Arial"/>
          <w:color w:val="1A1A1A"/>
          <w:sz w:val="22"/>
          <w:szCs w:val="22"/>
        </w:rPr>
        <w:t xml:space="preserve">Wyoming is a significant but often overlooked flaring state, with active production in the Powder River Basin, Jonah Field, and Pinedale Anticline. Wyoming's air quality rules require that flaring incorporate Best Available Control Technology (BACT), specifically enclosed smokeless combustion devices or flares that reduce VOC and total HAP emissions by at least 98%.</w:t>
      </w:r>
    </w:p>
    <w:p>
      <w:pPr>
        <w:spacing w:before="60" w:after="140"/>
        <w:jc w:val="both"/>
      </w:pPr>
      <w:r>
        <w:rPr>
          <w:rFonts w:ascii="Arial" w:cs="Arial" w:eastAsia="Arial" w:hAnsi="Arial"/>
          <w:color w:val="1A1A1A"/>
          <w:sz w:val="22"/>
          <w:szCs w:val="22"/>
        </w:rPr>
        <w:t xml:space="preserve">Reporting requirements: Wyoming requires monthly reporting of all flaring and venting events, including duration, total estimated volume, circumstances resulting in flaring, whether volume is metered or estimated, and a compositional analysis of the flared gas. This level of reporting creates a documented compliance record that regulators can use to identify patterns of non-compliance.</w:t>
      </w:r>
    </w:p>
    <w:p>
      <w:pPr>
        <w:spacing w:before="60" w:after="140"/>
        <w:jc w:val="both"/>
      </w:pPr>
      <w:r>
        <w:rPr>
          <w:rFonts w:ascii="Arial" w:cs="Arial" w:eastAsia="Arial" w:hAnsi="Arial"/>
          <w:color w:val="1A1A1A"/>
          <w:sz w:val="22"/>
          <w:szCs w:val="22"/>
        </w:rPr>
        <w:t xml:space="preserve">Gas heat content: Wyoming rules require that flared gases have more than 900 BTU/scf. This is a gas quality specification that effectively limits which gas streams can be legally flared — streams with low heat content (below 900 BTU/scf) may require conditioning or alternative disposal.</w:t>
      </w:r>
    </w:p>
    <w:p>
      <w:pPr>
        <w:spacing w:before="60" w:after="140"/>
        <w:jc w:val="both"/>
      </w:pPr>
      <w:r>
        <w:rPr>
          <w:rFonts w:ascii="Arial" w:cs="Arial" w:eastAsia="Arial" w:hAnsi="Arial"/>
          <w:color w:val="1A1A1A"/>
          <w:sz w:val="22"/>
          <w:szCs w:val="22"/>
        </w:rPr>
        <w:t xml:space="preserve">State plan posture: Wyoming has historically been a business-friendly regulatory environment and is expected to adopt OOOOc standards that meet but do not exceed federal minimums. The extended state plan deadline provides Wyoming additional flexibility to monitor political developments before submitting its plan.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Wyoming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producing areas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Powder River Basin, Jonah Field, Pinedale Anticline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BACT requirement</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98% VOC and HAP reduction from flares/ECDs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reporting</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 volume, circumstances, metered/estimated, composition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Gas quality floor</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Must exceed 900 BTU/scf to flare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OOOOc posture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Expected to adopt federal minimums; business-friendly regulatory history</w:t>
            </w:r>
          </w:p>
        </w:tc>
      </w:tr>
    </w:tbl>
    <w:p>
      <w:pPr>
        <w:spacing w:before="0" w:after="120"/>
      </w:pPr>
      <w:r>
        <w:t xml:space="preserve"/>
      </w:r>
    </w:p>
    <w:p>
      <w:pPr>
        <w:spacing w:before="220" w:after="100"/>
      </w:pPr>
      <w:r>
        <w:rPr>
          <w:rFonts w:ascii="Arial" w:cs="Arial" w:eastAsia="Arial" w:hAnsi="Arial"/>
          <w:b/>
          <w:bCs/>
          <w:color w:val="F97316"/>
          <w:sz w:val="22"/>
          <w:szCs w:val="22"/>
        </w:rPr>
        <w:t xml:space="preserve">Montana — Montana DEQ / BOGC</w:t>
      </w:r>
    </w:p>
    <w:p>
      <w:pPr>
        <w:spacing w:before="0" w:after="60"/>
      </w:pPr>
      <w:r>
        <w:rPr>
          <w:rFonts w:ascii="Arial" w:cs="Arial" w:eastAsia="Arial" w:hAnsi="Arial"/>
          <w:b/>
          <w:bCs/>
          <w:color w:val="F97316"/>
          <w:spacing w:val="80"/>
          <w:sz w:val="16"/>
          <w:szCs w:val="16"/>
        </w:rPr>
        <w:t xml:space="preserve">PRIMARY REGULATORS: MONTANA DEQ · MONTANA BOARD OF OIL AND GAS CONSERVATION (BOGC)</w:t>
      </w:r>
    </w:p>
    <w:p>
      <w:pPr>
        <w:spacing w:before="0" w:after="60"/>
      </w:pPr>
      <w:r>
        <w:t xml:space="preserve"/>
      </w:r>
    </w:p>
    <w:p>
      <w:pPr>
        <w:spacing w:before="60" w:after="140"/>
        <w:jc w:val="both"/>
      </w:pPr>
      <w:r>
        <w:rPr>
          <w:rFonts w:ascii="Arial" w:cs="Arial" w:eastAsia="Arial" w:hAnsi="Arial"/>
          <w:color w:val="1A1A1A"/>
          <w:sz w:val="22"/>
          <w:szCs w:val="22"/>
        </w:rPr>
        <w:t xml:space="preserve">Montana's flaring activity is concentrated in the Williston Basin (Bakken extension) in the northeastern corner of the state. Overall flaring volumes are lower than neighboring North Dakota but the Montana side of the Bakken shares similar geology and associated gas production characteristics. Montana's regulatory framework is generally less aggressive than North Dakota's, with flaring managed primarily through the Montana Board of Oil and Gas Conservation (BOGC) under the Montana Oil and Gas Conservation Act.</w:t>
      </w:r>
    </w:p>
    <w:p>
      <w:pPr>
        <w:spacing w:before="60" w:after="140"/>
        <w:jc w:val="both"/>
      </w:pPr>
      <w:r>
        <w:rPr>
          <w:rFonts w:ascii="Arial" w:cs="Arial" w:eastAsia="Arial" w:hAnsi="Arial"/>
          <w:color w:val="1A1A1A"/>
          <w:sz w:val="22"/>
          <w:szCs w:val="22"/>
        </w:rPr>
        <w:t xml:space="preserve">Montana DEQ regulates air quality aspects of flaring. State-level rules require operators to minimize flaring and obtain air quality permits for significant flaring operations. Montana has historically provided operators with reasonable flexibility on flaring exemptions, particularly in remote areas where pipeline connection is genuinely infeasible.</w:t>
      </w:r>
    </w:p>
    <w:p>
      <w:pPr>
        <w:spacing w:before="60" w:after="140"/>
        <w:jc w:val="both"/>
      </w:pPr>
      <w:r>
        <w:rPr>
          <w:rFonts w:ascii="Arial" w:cs="Arial" w:eastAsia="Arial" w:hAnsi="Arial"/>
          <w:color w:val="1A1A1A"/>
          <w:sz w:val="22"/>
          <w:szCs w:val="22"/>
        </w:rPr>
        <w:t xml:space="preserve">The Montana Bakken presents a specific opportunity profile: sites that are close enough to the North Dakota Bakken to share infrastructure and operating environment, but in a state with slightly more regulatory flexibility and less competitive market for gas-to-hash deployment operators.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Montana Detail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producing areas</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Williston Basin (MT Bakken), Elm Coulee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Regulatory posture</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Moderate; less aggressive than ND; BOGC + DEQ dual framework</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Flaring window</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Permits required; exemptions available with demonstrated infeasibility</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OOOOc posture</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Expected to submit plan meeting federal minimums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opportunity</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Lower competitive intensity than ND Bakken; similar geology</w:t>
            </w:r>
          </w:p>
        </w:tc>
      </w:tr>
    </w:tbl>
    <w:p>
      <w:pPr>
        <w:spacing w:before="0" w:after="80"/>
      </w:pPr>
      <w:r>
        <w:t xml:space="preserve"/>
      </w:r>
    </w:p>
    <w:p>
      <w:r>
        <w:br w:type="page"/>
      </w:r>
    </w:p>
    <w:p>
      <w:pPr>
        <w:pStyle w:val="Heading1"/>
        <w:spacing w:before="360" w:after="200"/>
      </w:pPr>
      <w:r>
        <w:rPr>
          <w:rFonts w:ascii="Arial" w:cs="Arial" w:eastAsia="Arial" w:hAnsi="Arial"/>
          <w:b/>
          <w:bCs/>
          <w:color w:val="0A0A0A"/>
          <w:sz w:val="36"/>
          <w:szCs w:val="36"/>
        </w:rPr>
        <w:t xml:space="preserve">4. Fine Structures and Enforcement Exposure</w:t>
      </w:r>
    </w:p>
    <w:p>
      <w:pPr>
        <w:pBdr>
          <w:bottom w:val="single" w:color="F97316" w:sz="12" w:space="1"/>
        </w:pBdr>
        <w:spacing w:before="160" w:after="160"/>
      </w:pPr>
    </w:p>
    <w:p>
      <w:pPr>
        <w:spacing w:before="60" w:after="140"/>
        <w:jc w:val="both"/>
      </w:pPr>
      <w:r>
        <w:rPr>
          <w:rFonts w:ascii="Arial" w:cs="Arial" w:eastAsia="Arial" w:hAnsi="Arial"/>
          <w:color w:val="1A1A1A"/>
          <w:sz w:val="22"/>
          <w:szCs w:val="22"/>
        </w:rPr>
        <w:t xml:space="preserve">Understanding the potential financial exposure from flaring violations matters for operators evaluating whether to invest in compliance solutions. The following is a summary of the primary penalty structures at the federal and state levels. Actual penalties vary significantly by violation severity, violation history, and whether the operator self-reported and took corrective action.</w:t>
      </w:r>
    </w:p>
    <w:p>
      <w:pPr>
        <w:spacing w:before="0" w:after="80"/>
      </w:pPr>
      <w:r>
        <w:t xml:space="preserve"/>
      </w:r>
    </w:p>
    <w:p>
      <w:pPr>
        <w:spacing w:before="0" w:after="60"/>
      </w:pPr>
      <w:r>
        <w:rPr>
          <w:rFonts w:ascii="Arial" w:cs="Arial" w:eastAsia="Arial" w:hAnsi="Arial"/>
          <w:b/>
          <w:bCs/>
          <w:color w:val="F97316"/>
          <w:spacing w:val="80"/>
          <w:sz w:val="16"/>
          <w:szCs w:val="16"/>
        </w:rPr>
        <w:t xml:space="preserve">PENALTY REFERENCE — FEDERAL AND STATE FRAMEWORKS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Jurisdiction</w:t>
            </w:r>
          </w:p>
        </w:tc>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Authority</w:t>
            </w:r>
          </w:p>
        </w:tc>
        <w:tc>
          <w:tcPr>
            <w:tcW w:type="dxa" w:w="25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Maximum Civil Penalty</w:t>
            </w:r>
          </w:p>
        </w:tc>
        <w:tc>
          <w:tcPr>
            <w:tcW w:type="dxa" w:w="26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Federal — EPA</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Air Act (CAA)</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$70,117/day per violation (2024)</w:t>
            </w:r>
          </w:p>
        </w:tc>
        <w:tc>
          <w:tcPr>
            <w:tcW w:type="dxa" w:w="2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Adjusted annually for inflation; may apply per-source per-day</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Federal — OOOOb</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NSPS CAA Section 111</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Same CAA maximums</w:t>
            </w:r>
          </w:p>
        </w:tc>
        <w:tc>
          <w:tcPr>
            <w:tcW w:type="dxa" w:w="2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Each day of non-compliance is a separate violation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Texas — RRC</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Tex. Nat. Res. Code</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$10,000/day per violation</w:t>
            </w:r>
          </w:p>
        </w:tc>
        <w:tc>
          <w:tcPr>
            <w:tcW w:type="dxa" w:w="2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Plus well shut-in; permit revocation possible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Texas — TCEQ</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Texas Health &amp; Safety Code</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 to $25,000/day per violation</w:t>
            </w:r>
          </w:p>
        </w:tc>
        <w:tc>
          <w:tcPr>
            <w:tcW w:type="dxa" w:w="2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TCEQ can refer to AG for additional penalties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North Dakota — NDIC</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ND Century Code 38-08</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$12,500/day per violation</w:t>
            </w:r>
          </w:p>
        </w:tc>
        <w:tc>
          <w:tcPr>
            <w:tcW w:type="dxa" w:w="2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Plus production curtailment; exemption revocation</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North Dakota — DEQ</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 Clean Air Act</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 to $10,000/day per violation</w:t>
            </w:r>
          </w:p>
        </w:tc>
        <w:tc>
          <w:tcPr>
            <w:tcW w:type="dxa" w:w="2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Separate from NDIC authority</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Colorado — COGCC</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COGS Act</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$15,000/day per violation</w:t>
            </w:r>
          </w:p>
        </w:tc>
        <w:tc>
          <w:tcPr>
            <w:tcW w:type="dxa" w:w="2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Repeat violations subject to enhanced penalties under SB181</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New Mexico — OCD</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NM Oil Conservation Act</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 to $10,000/day</w:t>
            </w:r>
          </w:p>
        </w:tc>
        <w:tc>
          <w:tcPr>
            <w:tcW w:type="dxa" w:w="2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Increasing enforcement posture; NOV rate rising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Wyoming — DEQ</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WY Environmental Quality Act</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$10,000/day per violation</w:t>
            </w:r>
          </w:p>
        </w:tc>
        <w:tc>
          <w:tcPr>
            <w:tcW w:type="dxa" w:w="26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reporting violations separately actionable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Montana — DEQ</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MT Environmental Policy Act</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Up to $10,000/day</w:t>
            </w:r>
          </w:p>
        </w:tc>
        <w:tc>
          <w:tcPr>
            <w:tcW w:type="dxa" w:w="26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Less aggressive enforcement historically</w:t>
            </w:r>
          </w:p>
        </w:tc>
      </w:tr>
    </w:tbl>
    <w:p>
      <w:pPr>
        <w:spacing w:before="60" w:after="160"/>
        <w:jc w:val="center"/>
      </w:pPr>
      <w:r>
        <w:rPr>
          <w:rFonts w:ascii="Arial" w:cs="Arial" w:eastAsia="Arial" w:hAnsi="Arial"/>
          <w:i/>
          <w:iCs/>
          <w:color w:val="4B5563"/>
          <w:sz w:val="18"/>
          <w:szCs w:val="18"/>
        </w:rPr>
        <w:t xml:space="preserve">Maximum penalties listed. Actual penalties often lower based on good faith, self-reporting, and remedial action. EPA penalty policy includes gravity-based and economic benefit components. Consult environmental counsel for specific exposure analysis.</w:t>
      </w:r>
    </w:p>
    <w:p>
      <w:pPr>
        <w:spacing w:before="0" w:after="80"/>
      </w:pPr>
      <w:r>
        <w:t xml:space="preserve"/>
      </w:r>
    </w:p>
    <w:p>
      <w:pPr>
        <w:spacing w:before="60" w:after="140"/>
        <w:jc w:val="both"/>
      </w:pPr>
      <w:r>
        <w:rPr>
          <w:rFonts w:ascii="Arial" w:cs="Arial" w:eastAsia="Arial" w:hAnsi="Arial"/>
          <w:color w:val="1A1A1A"/>
          <w:sz w:val="22"/>
          <w:szCs w:val="22"/>
        </w:rPr>
        <w:t xml:space="preserve">Beyond direct monetary penalties, operators face additional enforcement exposure including: production shut-in orders (which eliminate all revenue from the well, not just the associated gas revenue); permit revocations; enhanced scrutiny on future permit applications; and reputational damage that affects relationships with surface landowners, royalty owners, and financing counterparties.</w:t>
      </w:r>
    </w:p>
    <w:p>
      <w:pPr>
        <w:spacing w:before="60" w:after="140"/>
        <w:jc w:val="both"/>
      </w:pPr>
      <w:r>
        <w:rPr>
          <w:rFonts w:ascii="Arial" w:cs="Arial" w:eastAsia="Arial" w:hAnsi="Arial"/>
          <w:color w:val="1A1A1A"/>
          <w:sz w:val="22"/>
          <w:szCs w:val="22"/>
        </w:rPr>
        <w:t xml:space="preserve">The practical risk calculation: a Permian Basin well producing 500 Mcf/day of associated gas that has been flaring for 90 days in violation of NSPS OOOOb faces potential CAA exposure of up to $6.3 million at the maximum penalty rate ($70,117/day × 90 days). Even at one-tenth of the maximum, the exposure is $630,000 — well above the cost of a gas-to-hash deployment that would have eliminated the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24"/>
              <w:bottom w:val="single" w:color="DC2626" w:sz="8"/>
              <w:right w:val="single" w:color="DC2626" w:sz="8"/>
            </w:tcBorders>
            <w:shd w:fill="FEE2E2" w:val="clear"/>
            <w:tcMar>
              <w:top w:type="dxa" w:w="160"/>
              <w:left w:type="dxa" w:w="200"/>
              <w:bottom w:type="dxa" w:w="160"/>
              <w:right w:type="dxa" w:w="200"/>
            </w:tcMar>
          </w:tcPr>
          <w:p>
            <w:pPr>
              <w:spacing w:before="0" w:after="80"/>
            </w:pPr>
            <w:r>
              <w:rPr>
                <w:rFonts w:ascii="Arial" w:cs="Arial" w:eastAsia="Arial" w:hAnsi="Arial"/>
                <w:b/>
                <w:bCs/>
                <w:color w:val="DC2626"/>
                <w:sz w:val="20"/>
                <w:szCs w:val="20"/>
              </w:rPr>
              <w:t xml:space="preserve">Key risk factor: cumulative violation exposure</w:t>
            </w:r>
          </w:p>
          <w:p>
            <w:pPr>
              <w:spacing w:before="40" w:after="40"/>
            </w:pPr>
            <w:r>
              <w:rPr>
                <w:rFonts w:ascii="Arial" w:cs="Arial" w:eastAsia="Arial" w:hAnsi="Arial"/>
                <w:color w:val="1A1A1A"/>
                <w:sz w:val="20"/>
                <w:szCs w:val="20"/>
              </w:rPr>
              <w:t xml:space="preserve">Each day of non-compliance is a separate violation under CAA NSPS. Operators who have been continuing to flare past compliance deadlines are accumulating daily violation exposure. Unlike a lump-sum fine, the liability grows every day the violation continues. Courts and EPA have applied this daily accumulation analysis in penalty calculations. Voluntary disclosure and corrective action are the primary mechanisms for reducing penalty exposure after the fact.</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5. The Beneficial Use Pathway: On-Lease Alternatives</w:t>
      </w:r>
    </w:p>
    <w:p>
      <w:pPr>
        <w:pBdr>
          <w:bottom w:val="single" w:color="F97316" w:sz="12" w:space="1"/>
        </w:pBdr>
        <w:spacing w:before="160" w:after="160"/>
      </w:pPr>
    </w:p>
    <w:p>
      <w:pPr>
        <w:spacing w:before="60" w:after="140"/>
        <w:jc w:val="both"/>
      </w:pPr>
      <w:r>
        <w:rPr>
          <w:rFonts w:ascii="Arial" w:cs="Arial" w:eastAsia="Arial" w:hAnsi="Arial"/>
          <w:color w:val="1A1A1A"/>
          <w:sz w:val="22"/>
          <w:szCs w:val="22"/>
        </w:rPr>
        <w:t xml:space="preserve">Every state and the federal OOOOb framework explicitly recognizes "beneficial use" of wellhead gas as a compliant alternative to flaring. The pathway is not a workaround — it is the intended structure of the rules. Understanding exactly how beneficial use is defined and documented is essential for operators who want to use gas-to-hash deployment as a compliance solution.</w:t>
      </w:r>
    </w:p>
    <w:p>
      <w:pPr>
        <w:pStyle w:val="Heading2"/>
        <w:spacing w:before="280" w:after="140"/>
      </w:pPr>
      <w:r>
        <w:rPr>
          <w:rFonts w:ascii="Arial" w:cs="Arial" w:eastAsia="Arial" w:hAnsi="Arial"/>
          <w:b/>
          <w:bCs/>
          <w:color w:val="0A0A0A"/>
          <w:sz w:val="26"/>
          <w:szCs w:val="26"/>
        </w:rPr>
        <w:t xml:space="preserve">5.1  How Beneficial Use Is Defined</w:t>
      </w:r>
    </w:p>
    <w:p>
      <w:pPr>
        <w:spacing w:before="60" w:after="140"/>
        <w:jc w:val="both"/>
      </w:pPr>
      <w:r>
        <w:rPr>
          <w:rFonts w:ascii="Arial" w:cs="Arial" w:eastAsia="Arial" w:hAnsi="Arial"/>
          <w:color w:val="1A1A1A"/>
          <w:sz w:val="22"/>
          <w:szCs w:val="22"/>
        </w:rPr>
        <w:t xml:space="preserve">Under NSPS OOOOb, the alternatives to routine flaring for associated gas from new oil wells are:</w:t>
      </w:r>
    </w:p>
    <w:p>
      <w:pPr>
        <w:pStyle w:val="ListParagraph"/>
        <w:numPr>
          <w:ilvl w:val="0"/>
          <w:numId w:val="2"/>
        </w:numPr>
        <w:spacing w:before="50" w:after="50"/>
      </w:pPr>
      <w:r>
        <w:rPr>
          <w:rFonts w:ascii="Arial" w:cs="Arial" w:eastAsia="Arial" w:hAnsi="Arial"/>
          <w:color w:val="1A1A1A"/>
          <w:sz w:val="22"/>
          <w:szCs w:val="22"/>
        </w:rPr>
        <w:t xml:space="preserve">Routing gas to a sales line (conventional pipeline connection)</w:t>
      </w:r>
    </w:p>
    <w:p>
      <w:pPr>
        <w:pStyle w:val="ListParagraph"/>
        <w:numPr>
          <w:ilvl w:val="0"/>
          <w:numId w:val="2"/>
        </w:numPr>
        <w:spacing w:before="50" w:after="50"/>
      </w:pPr>
      <w:r>
        <w:rPr>
          <w:rFonts w:ascii="Arial" w:cs="Arial" w:eastAsia="Arial" w:hAnsi="Arial"/>
          <w:color w:val="1A1A1A"/>
          <w:sz w:val="22"/>
          <w:szCs w:val="22"/>
        </w:rPr>
        <w:t xml:space="preserve">Using gas as an on-site fuel source — directly or through combustion for power generation</w:t>
      </w:r>
    </w:p>
    <w:p>
      <w:pPr>
        <w:pStyle w:val="ListParagraph"/>
        <w:numPr>
          <w:ilvl w:val="0"/>
          <w:numId w:val="2"/>
        </w:numPr>
        <w:spacing w:before="50" w:after="50"/>
      </w:pPr>
      <w:r>
        <w:rPr>
          <w:rFonts w:ascii="Arial" w:cs="Arial" w:eastAsia="Arial" w:hAnsi="Arial"/>
          <w:color w:val="1A1A1A"/>
          <w:sz w:val="22"/>
          <w:szCs w:val="22"/>
        </w:rPr>
        <w:t xml:space="preserve">Another useful purpose that a purchased fuel, chemical feedstock, or raw material would serve</w:t>
      </w:r>
    </w:p>
    <w:p>
      <w:pPr>
        <w:pStyle w:val="ListParagraph"/>
        <w:numPr>
          <w:ilvl w:val="0"/>
          <w:numId w:val="2"/>
        </w:numPr>
        <w:spacing w:before="50" w:after="50"/>
      </w:pPr>
      <w:r>
        <w:rPr>
          <w:rFonts w:ascii="Arial" w:cs="Arial" w:eastAsia="Arial" w:hAnsi="Arial"/>
          <w:color w:val="1A1A1A"/>
          <w:sz w:val="22"/>
          <w:szCs w:val="22"/>
        </w:rPr>
        <w:t xml:space="preserve">Reinjection into the well or another well</w:t>
      </w:r>
    </w:p>
    <w:p>
      <w:pPr>
        <w:spacing w:before="60" w:after="140"/>
        <w:jc w:val="both"/>
      </w:pPr>
      <w:r>
        <w:rPr>
          <w:rFonts w:ascii="Arial" w:cs="Arial" w:eastAsia="Arial" w:hAnsi="Arial"/>
          <w:color w:val="1A1A1A"/>
          <w:sz w:val="22"/>
          <w:szCs w:val="22"/>
        </w:rPr>
        <w:t xml:space="preserve">Gas-to-hash deployment falls squarely within the second category: generating electricity on-site from wellhead gas, which is then consumed by computing equipment located at the wellhead. The gas is being used — converted to electricity — rather than flared. The electricity consumption happens to be Bitcoin mining, but from a regulatory standpoint, the regulated activity is gas combustion for on-site power generation, not Bitcoin mining.</w:t>
      </w:r>
    </w:p>
    <w:p>
      <w:pPr>
        <w:spacing w:before="60" w:after="140"/>
        <w:jc w:val="both"/>
      </w:pPr>
      <w:r>
        <w:rPr>
          <w:rFonts w:ascii="Arial" w:cs="Arial" w:eastAsia="Arial" w:hAnsi="Arial"/>
          <w:color w:val="1A1A1A"/>
          <w:sz w:val="22"/>
          <w:szCs w:val="22"/>
        </w:rPr>
        <w:t xml:space="preserve">State beneficial use definitions track closely to the federal framework. Texas, North Dakota, Colorado, New Mexico, Wyoming, and Montana all have provisions that permit on-site use of wellhead gas for power generation as an alternative to flaring. The specifics of documentation requirements differ by state.</w:t>
      </w:r>
    </w:p>
    <w:p>
      <w:pPr>
        <w:pStyle w:val="Heading2"/>
        <w:spacing w:before="280" w:after="140"/>
      </w:pPr>
      <w:r>
        <w:rPr>
          <w:rFonts w:ascii="Arial" w:cs="Arial" w:eastAsia="Arial" w:hAnsi="Arial"/>
          <w:b/>
          <w:bCs/>
          <w:color w:val="0A0A0A"/>
          <w:sz w:val="26"/>
          <w:szCs w:val="26"/>
        </w:rPr>
        <w:t xml:space="preserve">5.2  Documentation Requirements for Beneficial Use</w:t>
      </w:r>
    </w:p>
    <w:p>
      <w:pPr>
        <w:spacing w:before="60" w:after="140"/>
        <w:jc w:val="both"/>
      </w:pPr>
      <w:r>
        <w:rPr>
          <w:rFonts w:ascii="Arial" w:cs="Arial" w:eastAsia="Arial" w:hAnsi="Arial"/>
          <w:color w:val="1A1A1A"/>
          <w:sz w:val="22"/>
          <w:szCs w:val="22"/>
        </w:rPr>
        <w:t xml:space="preserve">Claiming beneficial use as a compliance pathway is not automatic — it requires documentation. What that documentation looks like varies by state and regulatory pathway, but typically includes:</w:t>
      </w:r>
    </w:p>
    <w:p>
      <w:pPr>
        <w:pStyle w:val="ListParagraph"/>
        <w:numPr>
          <w:ilvl w:val="0"/>
          <w:numId w:val="2"/>
        </w:numPr>
        <w:spacing w:before="50" w:after="50"/>
      </w:pPr>
      <w:r>
        <w:rPr>
          <w:rFonts w:ascii="Arial" w:cs="Arial" w:eastAsia="Arial" w:hAnsi="Arial"/>
          <w:color w:val="1A1A1A"/>
          <w:sz w:val="22"/>
          <w:szCs w:val="22"/>
        </w:rPr>
        <w:t xml:space="preserve">Gas metering or measurement: Records showing the volume of gas consumed by the on-site power generation system. Most deployments use inline meters at the gas inlet to the generator.</w:t>
      </w:r>
    </w:p>
    <w:p>
      <w:pPr>
        <w:pStyle w:val="ListParagraph"/>
        <w:numPr>
          <w:ilvl w:val="0"/>
          <w:numId w:val="2"/>
        </w:numPr>
        <w:spacing w:before="50" w:after="50"/>
      </w:pPr>
      <w:r>
        <w:rPr>
          <w:rFonts w:ascii="Arial" w:cs="Arial" w:eastAsia="Arial" w:hAnsi="Arial"/>
          <w:color w:val="1A1A1A"/>
          <w:sz w:val="22"/>
          <w:szCs w:val="22"/>
        </w:rPr>
        <w:t xml:space="preserve">Equipment registration: Some states (including North Dakota and Texas) require registration of on-site combustion equipment with the relevant air quality agency. A gas-powered generator at a wellhead is typically a permitted combustion source, not a flare.</w:t>
      </w:r>
    </w:p>
    <w:p>
      <w:pPr>
        <w:pStyle w:val="ListParagraph"/>
        <w:numPr>
          <w:ilvl w:val="0"/>
          <w:numId w:val="2"/>
        </w:numPr>
        <w:spacing w:before="50" w:after="50"/>
      </w:pPr>
      <w:r>
        <w:rPr>
          <w:rFonts w:ascii="Arial" w:cs="Arial" w:eastAsia="Arial" w:hAnsi="Arial"/>
          <w:color w:val="1A1A1A"/>
          <w:sz w:val="22"/>
          <w:szCs w:val="22"/>
        </w:rPr>
        <w:t xml:space="preserve">Air quality permits for the genset: The generator itself is an air emission source and may require a permit or permit exemption. In Texas, generators operating under PBR conditions may qualify for standard exemptions. In North Dakota, the general permit (GP-OG) framework accommodates on-site generators.</w:t>
      </w:r>
    </w:p>
    <w:p>
      <w:pPr>
        <w:pStyle w:val="ListParagraph"/>
        <w:numPr>
          <w:ilvl w:val="0"/>
          <w:numId w:val="2"/>
        </w:numPr>
        <w:spacing w:before="50" w:after="50"/>
      </w:pPr>
      <w:r>
        <w:rPr>
          <w:rFonts w:ascii="Arial" w:cs="Arial" w:eastAsia="Arial" w:hAnsi="Arial"/>
          <w:color w:val="1A1A1A"/>
          <w:sz w:val="22"/>
          <w:szCs w:val="22"/>
        </w:rPr>
        <w:t xml:space="preserve">Production records: Correlation between gas production records, gas volume consumed by the generator, and power output records creates the documentation chain demonstrating beneficial use.</w:t>
      </w:r>
    </w:p>
    <w:p>
      <w:pPr>
        <w:spacing w:before="60" w:after="140"/>
        <w:jc w:val="both"/>
      </w:pPr>
      <w:r>
        <w:rPr>
          <w:rFonts w:ascii="Arial" w:cs="Arial" w:eastAsia="Arial" w:hAnsi="Arial"/>
          <w:color w:val="1A1A1A"/>
          <w:sz w:val="22"/>
          <w:szCs w:val="22"/>
        </w:rPr>
        <w:t xml:space="preserve">MCF.digital's deployment process includes comprehensive metering and documentation to support beneficial use compliance claims. Operators entering into hosting or revenue share agreements should confirm that the deployment structure includes provision for the metering and documentation records required in their specific state.</w:t>
      </w:r>
    </w:p>
    <w:p>
      <w:pPr>
        <w:pStyle w:val="Heading2"/>
        <w:spacing w:before="280" w:after="140"/>
      </w:pPr>
      <w:r>
        <w:rPr>
          <w:rFonts w:ascii="Arial" w:cs="Arial" w:eastAsia="Arial" w:hAnsi="Arial"/>
          <w:b/>
          <w:bCs/>
          <w:color w:val="0A0A0A"/>
          <w:sz w:val="26"/>
          <w:szCs w:val="26"/>
        </w:rPr>
        <w:t xml:space="preserve">5.3  The North Dakota Exemption Implication</w:t>
      </w:r>
    </w:p>
    <w:p>
      <w:pPr>
        <w:spacing w:before="60" w:after="140"/>
        <w:jc w:val="both"/>
      </w:pPr>
      <w:r>
        <w:rPr>
          <w:rFonts w:ascii="Arial" w:cs="Arial" w:eastAsia="Arial" w:hAnsi="Arial"/>
          <w:color w:val="1A1A1A"/>
          <w:sz w:val="22"/>
          <w:szCs w:val="22"/>
        </w:rPr>
        <w:t xml:space="preserve">North Dakota's flaring exemption framework creates a specific compliance interaction for gas-to-hash. As noted in Section 3, NDAC 43-02-03-60.2 requires applicants seeking a flaring exemption to include documentation that it is economically infeasible to equip the well with an electrical generator to produce electricity from gas. This provision was designed to ensure operators consider on-site power generation before claiming pipeline connection is the only option.</w:t>
      </w:r>
    </w:p>
    <w:p>
      <w:pPr>
        <w:spacing w:before="60" w:after="140"/>
        <w:jc w:val="both"/>
      </w:pPr>
      <w:r>
        <w:rPr>
          <w:rFonts w:ascii="Arial" w:cs="Arial" w:eastAsia="Arial" w:hAnsi="Arial"/>
          <w:color w:val="1A1A1A"/>
          <w:sz w:val="22"/>
          <w:szCs w:val="22"/>
        </w:rPr>
        <w:t xml:space="preserve">The practical effect: operators applying for or renewing flaring exemptions in North Dakota should be prepared to address the generator evaluation requirement. An operator who has already deployed a gas-to-hash system has satisfied this requirement by actually implementing on-site generation. An operator seeking an exemption for a site where gas-to-hash is technically and economically feasible may face difficulty demonstrating the required infeasibility.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4"/>
              <w:bottom w:val="single" w:color="059669" w:sz="8"/>
              <w:right w:val="single" w:color="059669" w:sz="8"/>
            </w:tcBorders>
            <w:shd w:fill="D1FAE5" w:val="clear"/>
            <w:tcMar>
              <w:top w:type="dxa" w:w="160"/>
              <w:left w:type="dxa" w:w="200"/>
              <w:bottom w:type="dxa" w:w="160"/>
              <w:right w:type="dxa" w:w="200"/>
            </w:tcMar>
          </w:tcPr>
          <w:p>
            <w:pPr>
              <w:spacing w:before="0" w:after="80"/>
            </w:pPr>
            <w:r>
              <w:rPr>
                <w:rFonts w:ascii="Arial" w:cs="Arial" w:eastAsia="Arial" w:hAnsi="Arial"/>
                <w:b/>
                <w:bCs/>
                <w:color w:val="059669"/>
                <w:sz w:val="20"/>
                <w:szCs w:val="20"/>
              </w:rPr>
              <w:t xml:space="preserve">Compliance pathway summary</w:t>
            </w:r>
          </w:p>
          <w:p>
            <w:pPr>
              <w:spacing w:before="40" w:after="40"/>
            </w:pPr>
            <w:r>
              <w:rPr>
                <w:rFonts w:ascii="Arial" w:cs="Arial" w:eastAsia="Arial" w:hAnsi="Arial"/>
                <w:color w:val="1A1A1A"/>
                <w:sz w:val="20"/>
                <w:szCs w:val="20"/>
              </w:rPr>
              <w:t xml:space="preserve">For operators on new wells (post-December 2022) seeking to comply with NSPS OOOOb's routine flaring prohibition:</w:t>
            </w:r>
          </w:p>
          <w:p>
            <w:pPr>
              <w:spacing w:before="40" w:after="40"/>
            </w:pPr>
            <w:r>
              <w:rPr>
                <w:rFonts w:ascii="Arial" w:cs="Arial" w:eastAsia="Arial" w:hAnsi="Arial"/>
                <w:color w:val="1A1A1A"/>
                <w:sz w:val="20"/>
                <w:szCs w:val="20"/>
              </w:rPr>
              <w:t xml:space="preserve">• Gas-to-hash deployment = on-site gas combustion for beneficial power generation = compliant alternative to flaring</w:t>
            </w:r>
          </w:p>
          <w:p>
            <w:pPr>
              <w:spacing w:before="40" w:after="40"/>
            </w:pPr>
            <w:r>
              <w:rPr>
                <w:rFonts w:ascii="Arial" w:cs="Arial" w:eastAsia="Arial" w:hAnsi="Arial"/>
                <w:color w:val="1A1A1A"/>
                <w:sz w:val="20"/>
                <w:szCs w:val="20"/>
              </w:rPr>
              <w:t xml:space="preserve">• Requires: gas metering, genset air permits (state-specific), production documentation</w:t>
            </w:r>
          </w:p>
          <w:p>
            <w:pPr>
              <w:spacing w:before="40" w:after="40"/>
            </w:pPr>
            <w:r>
              <w:rPr>
                <w:rFonts w:ascii="Arial" w:cs="Arial" w:eastAsia="Arial" w:hAnsi="Arial"/>
                <w:color w:val="1A1A1A"/>
                <w:sz w:val="20"/>
                <w:szCs w:val="20"/>
              </w:rPr>
              <w:t xml:space="preserve">• Does not require: pipeline connection, gas processing, gas sales agreements</w:t>
            </w:r>
          </w:p>
          <w:p>
            <w:pPr>
              <w:spacing w:before="40" w:after="40"/>
            </w:pPr>
            <w:r>
              <w:rPr>
                <w:rFonts w:ascii="Arial" w:cs="Arial" w:eastAsia="Arial" w:hAnsi="Arial"/>
                <w:color w:val="1A1A1A"/>
                <w:sz w:val="20"/>
                <w:szCs w:val="20"/>
              </w:rPr>
              <w:t xml:space="preserve">• Result: flaring eliminated, compliance achieved, gas monetized as Bitcoin</w:t>
            </w:r>
          </w:p>
          <w:p>
            <w:pPr>
              <w:spacing w:before="40" w:after="40"/>
            </w:pPr>
            <w:r>
              <w:rPr>
                <w:rFonts w:ascii="Arial" w:cs="Arial" w:eastAsia="Arial" w:hAnsi="Arial"/>
                <w:color w:val="1A1A1A"/>
                <w:sz w:val="20"/>
                <w:szCs w:val="20"/>
              </w:rPr>
              <w:t xml:space="preserve">For operators in North Dakota seeking flaring exemptions, document your evaluation of on-site power generation before applying — the evaluation is required by rule.</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6. What to Do Now: Operator Action Checklist</w:t>
      </w:r>
    </w:p>
    <w:p>
      <w:pPr>
        <w:pBdr>
          <w:bottom w:val="single" w:color="F97316" w:sz="12" w:space="1"/>
        </w:pBdr>
        <w:spacing w:before="160" w:after="160"/>
      </w:pPr>
    </w:p>
    <w:p>
      <w:pPr>
        <w:spacing w:before="60" w:after="140"/>
        <w:jc w:val="both"/>
      </w:pPr>
      <w:r>
        <w:rPr>
          <w:rFonts w:ascii="Arial" w:cs="Arial" w:eastAsia="Arial" w:hAnsi="Arial"/>
          <w:color w:val="1A1A1A"/>
          <w:sz w:val="22"/>
          <w:szCs w:val="22"/>
        </w:rPr>
        <w:t xml:space="preserve">The following checklist is organized by operator situation. Not every item applies to every operator — identify which situation matches your assets and work through the relevant items.</w:t>
      </w:r>
    </w:p>
    <w:p>
      <w:pPr>
        <w:pStyle w:val="Heading2"/>
        <w:spacing w:before="280" w:after="140"/>
      </w:pPr>
      <w:r>
        <w:rPr>
          <w:rFonts w:ascii="Arial" w:cs="Arial" w:eastAsia="Arial" w:hAnsi="Arial"/>
          <w:b/>
          <w:bCs/>
          <w:color w:val="0A0A0A"/>
          <w:sz w:val="26"/>
          <w:szCs w:val="26"/>
        </w:rPr>
        <w:t xml:space="preserve">If you have new wells (post-December 6, 2022) with associated gas</w:t>
      </w:r>
    </w:p>
    <w:p>
      <w:pPr>
        <w:pStyle w:val="ListParagraph"/>
        <w:numPr>
          <w:ilvl w:val="0"/>
          <w:numId w:val="2"/>
        </w:numPr>
        <w:spacing w:before="50" w:after="50"/>
      </w:pPr>
      <w:r>
        <w:rPr>
          <w:rFonts w:ascii="Arial" w:cs="Arial" w:eastAsia="Arial" w:hAnsi="Arial"/>
          <w:color w:val="1A1A1A"/>
          <w:sz w:val="22"/>
          <w:szCs w:val="22"/>
        </w:rPr>
        <w:t xml:space="preserve">Confirm whether NSPS OOOOb applies to each new well or facility modification — look at construction commencement date.</w:t>
      </w:r>
    </w:p>
    <w:p>
      <w:pPr>
        <w:pStyle w:val="ListParagraph"/>
        <w:numPr>
          <w:ilvl w:val="0"/>
          <w:numId w:val="2"/>
        </w:numPr>
        <w:spacing w:before="50" w:after="50"/>
      </w:pPr>
      <w:r>
        <w:rPr>
          <w:rFonts w:ascii="Arial" w:cs="Arial" w:eastAsia="Arial" w:hAnsi="Arial"/>
          <w:color w:val="1A1A1A"/>
          <w:sz w:val="22"/>
          <w:szCs w:val="22"/>
        </w:rPr>
        <w:t xml:space="preserve">Assess whether any of those wells are currently routing gas to a flare for routine disposal. If yes, you are in or approaching violation of OOOOb's routine flaring prohibition effective March 8, 2026.</w:t>
      </w:r>
    </w:p>
    <w:p>
      <w:pPr>
        <w:pStyle w:val="ListParagraph"/>
        <w:numPr>
          <w:ilvl w:val="0"/>
          <w:numId w:val="2"/>
        </w:numPr>
        <w:spacing w:before="50" w:after="50"/>
      </w:pPr>
      <w:r>
        <w:rPr>
          <w:rFonts w:ascii="Arial" w:cs="Arial" w:eastAsia="Arial" w:hAnsi="Arial"/>
          <w:color w:val="1A1A1A"/>
          <w:sz w:val="22"/>
          <w:szCs w:val="22"/>
        </w:rPr>
        <w:t xml:space="preserve">Identify alternatives: pipeline connection, reinjection, on-site fuel use, or beneficial use (gas-to-hash deployment).</w:t>
      </w:r>
    </w:p>
    <w:p>
      <w:pPr>
        <w:pStyle w:val="ListParagraph"/>
        <w:numPr>
          <w:ilvl w:val="0"/>
          <w:numId w:val="2"/>
        </w:numPr>
        <w:spacing w:before="50" w:after="50"/>
      </w:pPr>
      <w:r>
        <w:rPr>
          <w:rFonts w:ascii="Arial" w:cs="Arial" w:eastAsia="Arial" w:hAnsi="Arial"/>
          <w:color w:val="1A1A1A"/>
          <w:sz w:val="22"/>
          <w:szCs w:val="22"/>
        </w:rPr>
        <w:t xml:space="preserve">Document your evaluation of all alternatives in writing. This documentation is protection against penalty enhancement in the event of enforcement.</w:t>
      </w:r>
    </w:p>
    <w:p>
      <w:pPr>
        <w:pStyle w:val="ListParagraph"/>
        <w:numPr>
          <w:ilvl w:val="0"/>
          <w:numId w:val="2"/>
        </w:numPr>
        <w:spacing w:before="50" w:after="50"/>
      </w:pPr>
      <w:r>
        <w:rPr>
          <w:rFonts w:ascii="Arial" w:cs="Arial" w:eastAsia="Arial" w:hAnsi="Arial"/>
          <w:color w:val="1A1A1A"/>
          <w:sz w:val="22"/>
          <w:szCs w:val="22"/>
        </w:rPr>
        <w:t xml:space="preserve">If deploying a gas-to-hash system: confirm genset air permitting requirements in your state, engage the permitting process before deployment, and implement metering at the gas inlet.</w:t>
      </w:r>
    </w:p>
    <w:p>
      <w:pPr>
        <w:pStyle w:val="ListParagraph"/>
        <w:numPr>
          <w:ilvl w:val="0"/>
          <w:numId w:val="2"/>
        </w:numPr>
        <w:spacing w:before="50" w:after="50"/>
      </w:pPr>
      <w:r>
        <w:rPr>
          <w:rFonts w:ascii="Arial" w:cs="Arial" w:eastAsia="Arial" w:hAnsi="Arial"/>
          <w:color w:val="1A1A1A"/>
          <w:sz w:val="22"/>
          <w:szCs w:val="22"/>
        </w:rPr>
        <w:t xml:space="preserve">Register initial OOOOb annual report obligations — first reports due no earlier than November 30, 2026.</w:t>
      </w:r>
    </w:p>
    <w:p>
      <w:pPr>
        <w:pStyle w:val="Heading2"/>
        <w:spacing w:before="280" w:after="140"/>
      </w:pPr>
      <w:r>
        <w:rPr>
          <w:rFonts w:ascii="Arial" w:cs="Arial" w:eastAsia="Arial" w:hAnsi="Arial"/>
          <w:b/>
          <w:bCs/>
          <w:color w:val="0A0A0A"/>
          <w:sz w:val="26"/>
          <w:szCs w:val="26"/>
        </w:rPr>
        <w:t xml:space="preserve">If you have existing wells (pre-December 2022) with flaring exemptions or ongoing flaring</w:t>
      </w:r>
    </w:p>
    <w:p>
      <w:pPr>
        <w:pStyle w:val="ListParagraph"/>
        <w:numPr>
          <w:ilvl w:val="0"/>
          <w:numId w:val="2"/>
        </w:numPr>
        <w:spacing w:before="50" w:after="50"/>
      </w:pPr>
      <w:r>
        <w:rPr>
          <w:rFonts w:ascii="Arial" w:cs="Arial" w:eastAsia="Arial" w:hAnsi="Arial"/>
          <w:color w:val="1A1A1A"/>
          <w:sz w:val="22"/>
          <w:szCs w:val="22"/>
        </w:rPr>
        <w:t xml:space="preserve">Map your flaring exemptions by state and expiration date. Identify which exemptions are coming up for renewal in 2026 and 2027.</w:t>
      </w:r>
    </w:p>
    <w:p>
      <w:pPr>
        <w:pStyle w:val="ListParagraph"/>
        <w:numPr>
          <w:ilvl w:val="0"/>
          <w:numId w:val="2"/>
        </w:numPr>
        <w:spacing w:before="50" w:after="50"/>
      </w:pPr>
      <w:r>
        <w:rPr>
          <w:rFonts w:ascii="Arial" w:cs="Arial" w:eastAsia="Arial" w:hAnsi="Arial"/>
          <w:color w:val="1A1A1A"/>
          <w:sz w:val="22"/>
          <w:szCs w:val="22"/>
        </w:rPr>
        <w:t xml:space="preserve">In North Dakota: review your exemption renewal application to ensure you can address the on-site generator economic feasibility requirement.</w:t>
      </w:r>
    </w:p>
    <w:p>
      <w:pPr>
        <w:pStyle w:val="ListParagraph"/>
        <w:numPr>
          <w:ilvl w:val="0"/>
          <w:numId w:val="2"/>
        </w:numPr>
        <w:spacing w:before="50" w:after="50"/>
      </w:pPr>
      <w:r>
        <w:rPr>
          <w:rFonts w:ascii="Arial" w:cs="Arial" w:eastAsia="Arial" w:hAnsi="Arial"/>
          <w:color w:val="1A1A1A"/>
          <w:sz w:val="22"/>
          <w:szCs w:val="22"/>
        </w:rPr>
        <w:t xml:space="preserve">In New Mexico: assess your current capture percentage against the 98% target. Sites significantly below 98% capture face heightened enforcement exposure.</w:t>
      </w:r>
    </w:p>
    <w:p>
      <w:pPr>
        <w:pStyle w:val="ListParagraph"/>
        <w:numPr>
          <w:ilvl w:val="0"/>
          <w:numId w:val="2"/>
        </w:numPr>
        <w:spacing w:before="50" w:after="50"/>
      </w:pPr>
      <w:r>
        <w:rPr>
          <w:rFonts w:ascii="Arial" w:cs="Arial" w:eastAsia="Arial" w:hAnsi="Arial"/>
          <w:color w:val="1A1A1A"/>
          <w:sz w:val="22"/>
          <w:szCs w:val="22"/>
        </w:rPr>
        <w:t xml:space="preserve">In Colorado: confirm that any new pad development includes a gas capture plan filed before first production.</w:t>
      </w:r>
    </w:p>
    <w:p>
      <w:pPr>
        <w:pStyle w:val="ListParagraph"/>
        <w:numPr>
          <w:ilvl w:val="0"/>
          <w:numId w:val="2"/>
        </w:numPr>
        <w:spacing w:before="50" w:after="50"/>
      </w:pPr>
      <w:r>
        <w:rPr>
          <w:rFonts w:ascii="Arial" w:cs="Arial" w:eastAsia="Arial" w:hAnsi="Arial"/>
          <w:color w:val="1A1A1A"/>
          <w:sz w:val="22"/>
          <w:szCs w:val="22"/>
        </w:rPr>
        <w:t xml:space="preserve">Monitor state OOOOc plan development in your operating states. State plans will set the compliance requirements for existing sources — early visibility into plan content allows advance planning.</w:t>
      </w:r>
    </w:p>
    <w:p>
      <w:pPr>
        <w:pStyle w:val="ListParagraph"/>
        <w:numPr>
          <w:ilvl w:val="0"/>
          <w:numId w:val="2"/>
        </w:numPr>
        <w:spacing w:before="50" w:after="50"/>
      </w:pPr>
      <w:r>
        <w:rPr>
          <w:rFonts w:ascii="Arial" w:cs="Arial" w:eastAsia="Arial" w:hAnsi="Arial"/>
          <w:color w:val="1A1A1A"/>
          <w:sz w:val="22"/>
          <w:szCs w:val="22"/>
        </w:rPr>
        <w:t xml:space="preserve">Model the economics of on-lease gas-to-hash deployment against continued flaring + exemption risk. The comparison is often more favorable than operators expect.</w:t>
      </w:r>
    </w:p>
    <w:p>
      <w:pPr>
        <w:pStyle w:val="Heading2"/>
        <w:spacing w:before="280" w:after="140"/>
      </w:pPr>
      <w:r>
        <w:rPr>
          <w:rFonts w:ascii="Arial" w:cs="Arial" w:eastAsia="Arial" w:hAnsi="Arial"/>
          <w:b/>
          <w:bCs/>
          <w:color w:val="0A0A0A"/>
          <w:sz w:val="26"/>
          <w:szCs w:val="26"/>
        </w:rPr>
        <w:t xml:space="preserve">If you are evaluating a gas-to-hash deployment as a compliance solution</w:t>
      </w:r>
    </w:p>
    <w:p>
      <w:pPr>
        <w:pStyle w:val="ListParagraph"/>
        <w:numPr>
          <w:ilvl w:val="0"/>
          <w:numId w:val="2"/>
        </w:numPr>
        <w:spacing w:before="50" w:after="50"/>
      </w:pPr>
      <w:r>
        <w:rPr>
          <w:rFonts w:ascii="Arial" w:cs="Arial" w:eastAsia="Arial" w:hAnsi="Arial"/>
          <w:color w:val="1A1A1A"/>
          <w:sz w:val="22"/>
          <w:szCs w:val="22"/>
        </w:rPr>
        <w:t xml:space="preserve">Run gas volume and quality screening before engaging any operator. Minimum ~100–150 Mcf/day; methane number above 65 preferred.</w:t>
      </w:r>
    </w:p>
    <w:p>
      <w:pPr>
        <w:pStyle w:val="ListParagraph"/>
        <w:numPr>
          <w:ilvl w:val="0"/>
          <w:numId w:val="2"/>
        </w:numPr>
        <w:spacing w:before="50" w:after="50"/>
      </w:pPr>
      <w:r>
        <w:rPr>
          <w:rFonts w:ascii="Arial" w:cs="Arial" w:eastAsia="Arial" w:hAnsi="Arial"/>
          <w:color w:val="1A1A1A"/>
          <w:sz w:val="22"/>
          <w:szCs w:val="22"/>
        </w:rPr>
        <w:t xml:space="preserve">Confirm beneficial use is explicitly recognized in your state's regulatory framework for on-site power generation (it is in all six states covered here).</w:t>
      </w:r>
    </w:p>
    <w:p>
      <w:pPr>
        <w:pStyle w:val="ListParagraph"/>
        <w:numPr>
          <w:ilvl w:val="0"/>
          <w:numId w:val="2"/>
        </w:numPr>
        <w:spacing w:before="50" w:after="50"/>
      </w:pPr>
      <w:r>
        <w:rPr>
          <w:rFonts w:ascii="Arial" w:cs="Arial" w:eastAsia="Arial" w:hAnsi="Arial"/>
          <w:color w:val="1A1A1A"/>
          <w:sz w:val="22"/>
          <w:szCs w:val="22"/>
        </w:rPr>
        <w:t xml:space="preserve">Identify the air permit pathway for the generator in your state (PBR, general permit, or NSR).</w:t>
      </w:r>
    </w:p>
    <w:p>
      <w:pPr>
        <w:pStyle w:val="ListParagraph"/>
        <w:numPr>
          <w:ilvl w:val="0"/>
          <w:numId w:val="2"/>
        </w:numPr>
        <w:spacing w:before="50" w:after="50"/>
      </w:pPr>
      <w:r>
        <w:rPr>
          <w:rFonts w:ascii="Arial" w:cs="Arial" w:eastAsia="Arial" w:hAnsi="Arial"/>
          <w:color w:val="1A1A1A"/>
          <w:sz w:val="22"/>
          <w:szCs w:val="22"/>
        </w:rPr>
        <w:t xml:space="preserve">Include metering, documentation, and recordkeeping requirements in any hosting or deployment agreement.</w:t>
      </w:r>
    </w:p>
    <w:p>
      <w:pPr>
        <w:pStyle w:val="ListParagraph"/>
        <w:numPr>
          <w:ilvl w:val="0"/>
          <w:numId w:val="2"/>
        </w:numPr>
        <w:spacing w:before="50" w:after="50"/>
      </w:pPr>
      <w:r>
        <w:rPr>
          <w:rFonts w:ascii="Arial" w:cs="Arial" w:eastAsia="Arial" w:hAnsi="Arial"/>
          <w:color w:val="1A1A1A"/>
          <w:sz w:val="22"/>
          <w:szCs w:val="22"/>
        </w:rPr>
        <w:t xml:space="preserve">Run the numbers at tools.mcf.digital — the Gas-to-Hash Feasibility Calculator and Netback Comparison Tool are available without login.</w:t>
      </w:r>
    </w:p>
    <w:p>
      <w:pPr>
        <w:pStyle w:val="ListParagraph"/>
        <w:numPr>
          <w:ilvl w:val="0"/>
          <w:numId w:val="2"/>
        </w:numPr>
        <w:spacing w:before="50" w:after="50"/>
      </w:pPr>
      <w:r>
        <w:rPr>
          <w:rFonts w:ascii="Arial" w:cs="Arial" w:eastAsia="Arial" w:hAnsi="Arial"/>
          <w:color w:val="1A1A1A"/>
          <w:sz w:val="22"/>
          <w:szCs w:val="22"/>
        </w:rPr>
        <w:t xml:space="preserve">Book a 15-minute fit call with MCF.digital to discuss your specific site, regulatory situation, and deal structure options.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4"/>
              <w:bottom w:val="single" w:color="D97706" w:sz="8"/>
              <w:right w:val="single" w:color="D97706" w:sz="8"/>
            </w:tcBorders>
            <w:shd w:fill="FEF3C7" w:val="clear"/>
            <w:tcMar>
              <w:top w:type="dxa" w:w="160"/>
              <w:left w:type="dxa" w:w="200"/>
              <w:bottom w:type="dxa" w:w="160"/>
              <w:right w:type="dxa" w:w="200"/>
            </w:tcMar>
          </w:tcPr>
          <w:p>
            <w:pPr>
              <w:spacing w:before="0" w:after="80"/>
            </w:pPr>
            <w:r>
              <w:rPr>
                <w:rFonts w:ascii="Arial" w:cs="Arial" w:eastAsia="Arial" w:hAnsi="Arial"/>
                <w:b/>
                <w:bCs/>
                <w:color w:val="D97706"/>
                <w:sz w:val="20"/>
                <w:szCs w:val="20"/>
              </w:rPr>
              <w:t xml:space="preserve">Annual update notice</w:t>
            </w:r>
          </w:p>
          <w:p>
            <w:pPr>
              <w:spacing w:before="40" w:after="40"/>
            </w:pPr>
            <w:r>
              <w:rPr>
                <w:rFonts w:ascii="Arial" w:cs="Arial" w:eastAsia="Arial" w:hAnsi="Arial"/>
                <w:color w:val="1A1A1A"/>
                <w:sz w:val="20"/>
                <w:szCs w:val="20"/>
              </w:rPr>
              <w:t xml:space="preserve">This briefing is updated each January to reflect regulatory changes from the prior year. The landscape covered here — federal OOOOb/c rules, state flaring limits, permit requirements, and fine structures — changes year over year. Operators should verify current rule status with regulatory counsel and with relevant state agencies before making compliance decisions.</w:t>
            </w:r>
          </w:p>
          <w:p>
            <w:pPr>
              <w:spacing w:before="40" w:after="40"/>
            </w:pPr>
            <w:r>
              <w:rPr>
                <w:rFonts w:ascii="Arial" w:cs="Arial" w:eastAsia="Arial" w:hAnsi="Arial"/>
                <w:color w:val="1A1A1A"/>
                <w:sz w:val="20"/>
                <w:szCs w:val="20"/>
              </w:rPr>
              <w:t xml:space="preserve">Next update: January 2027. Significant regulatory actions to watch: state OOOOc plan submissions (due January 22, 2027); potential EPA reconsideration of OOOOb standards; state-level methane rulemakings in NM, CO, and CA.</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Reference: Regulatory Contacts and Resources</w:t>
      </w:r>
    </w:p>
    <w:p>
      <w:pPr>
        <w:pBdr>
          <w:bottom w:val="single" w:color="F97316" w:sz="12" w:space="1"/>
        </w:pBdr>
        <w:spacing w:before="160" w:after="160"/>
      </w:pP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Agency</w:t>
            </w:r>
          </w:p>
        </w:tc>
        <w:tc>
          <w:tcPr>
            <w:tcW w:type="dxa" w:w="3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Jurisdiction</w:t>
            </w:r>
          </w:p>
        </w:tc>
        <w:tc>
          <w:tcPr>
            <w:tcW w:type="dxa" w:w="33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Website / Contact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 EPA — Oil and Gas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Federal (NSPS OOOOb/c)</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epa.gov/controlling-air-pollution-oil-and-natural-gas</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Texas Railroad Commission</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TX — Well operations, flaring authorizations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rrc.texas.gov</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TCEQ — Air Permits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TX — Air quality, flare emissions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tceq.texas.gov/permitting/air</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 Industrial Commission</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 — Gas capture targets, exemptions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ndic.nd.gov</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ND DEQ / Air Quality</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ND — Air permits, flare equipment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deq.nd.gov/aq/oilgas</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COGCC</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CO — Rule 912, gas capture plans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cogcc.state.co.us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NM Oil Conservation Division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NM — Flaring rules, 98% capture target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emnrd.nm.gov/ocd</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Wyoming DEQ / AQD</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WY — Air quality, flare permits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deq.wyoming.gov</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Montana DEQ / BOGC</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MT — Air quality, oil and gas conservation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deq.mt.gov / bogc.dnrc.mt.gov</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World Bank GGFT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Global — Flaring data reference</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globalflaring.gaiagas.com</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MCF.digital tools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Feasibility calculator, netback comparison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tools.mcf.digital</w:t>
            </w:r>
          </w:p>
        </w:tc>
      </w:tr>
    </w:tbl>
    <w:p>
      <w:pPr>
        <w:spacing w:before="0" w:after="80"/>
      </w:pPr>
      <w:r>
        <w:t xml:space="preserve"/>
      </w:r>
    </w:p>
    <w:p>
      <w:pPr>
        <w:pBdr>
          <w:bottom w:val="single" w:color="E5E7EB" w:sz="4" w:space="1"/>
        </w:pBdr>
        <w:spacing w:before="80" w:after="80"/>
      </w:pPr>
    </w:p>
    <w:p>
      <w:pPr>
        <w:spacing w:before="0" w:after="80"/>
      </w:pPr>
      <w:r>
        <w:t xml:space="preserve"/>
      </w:r>
    </w:p>
    <w:p>
      <w:pPr>
        <w:spacing w:before="0" w:after="100"/>
      </w:pPr>
      <w:r>
        <w:rPr>
          <w:rFonts w:ascii="Arial" w:cs="Arial" w:eastAsia="Arial" w:hAnsi="Arial"/>
          <w:b/>
          <w:bCs/>
          <w:color w:val="0A0A0A"/>
          <w:sz w:val="22"/>
          <w:szCs w:val="22"/>
        </w:rPr>
        <w:t xml:space="preserve">About MCF.digital</w:t>
      </w:r>
    </w:p>
    <w:p>
      <w:pPr>
        <w:spacing w:before="60" w:after="140"/>
        <w:jc w:val="both"/>
      </w:pPr>
      <w:r>
        <w:rPr>
          <w:rFonts w:ascii="Arial" w:cs="Arial" w:eastAsia="Arial" w:hAnsi="Arial"/>
          <w:color w:val="1A1A1A"/>
          <w:sz w:val="22"/>
          <w:szCs w:val="22"/>
        </w:rPr>
        <w:t xml:space="preserve">MCF.digital builds and operates on-lease gas-to-hash systems for oil and gas operators dealing with flaring compliance and low gas netbacks. We work across the Permian, Bakken, DJ Basin, and Eagle Ford. Gas-to-hash deployment under a hosting or revenue share structure constitutes beneficial use of wellhead gas under federal and state regulatory frameworks.</w:t>
      </w:r>
    </w:p>
    <w:p>
      <w:pPr>
        <w:spacing w:before="60" w:after="140"/>
        <w:jc w:val="both"/>
      </w:pPr>
      <w:r>
        <w:rPr>
          <w:rFonts w:ascii="Arial" w:cs="Arial" w:eastAsia="Arial" w:hAnsi="Arial"/>
          <w:color w:val="1A1A1A"/>
          <w:sz w:val="22"/>
          <w:szCs w:val="22"/>
        </w:rPr>
        <w:t xml:space="preserve">Run the numbers at tools.mcf.digital. Book a 15-minute fit call at mcf.digital/contact.</w:t>
      </w:r>
    </w:p>
    <w:p>
      <w:pPr>
        <w:spacing w:before="0" w:after="80"/>
      </w:pPr>
      <w:r>
        <w:t xml:space="preserve"/>
      </w:r>
    </w:p>
    <w:p>
      <w:pPr>
        <w:spacing w:before="0" w:after="80"/>
      </w:pPr>
      <w:r>
        <w:rPr>
          <w:rFonts w:ascii="Arial" w:cs="Arial" w:eastAsia="Arial" w:hAnsi="Arial"/>
          <w:b/>
          <w:bCs/>
          <w:color w:val="4B5563"/>
          <w:sz w:val="18"/>
          <w:szCs w:val="18"/>
        </w:rPr>
        <w:t xml:space="preserve">Disclaimer</w:t>
      </w:r>
    </w:p>
    <w:p>
      <w:pPr>
        <w:spacing w:before="0" w:after="0"/>
        <w:jc w:val="both"/>
      </w:pPr>
      <w:r>
        <w:rPr>
          <w:rFonts w:ascii="Arial" w:cs="Arial" w:eastAsia="Arial" w:hAnsi="Arial"/>
          <w:i/>
          <w:iCs/>
          <w:color w:val="4B5563"/>
          <w:sz w:val="18"/>
          <w:szCs w:val="18"/>
        </w:rPr>
        <w:t xml:space="preserve">This briefing is for informational purposes only and does not constitute legal, environmental, or compliance advice. Regulations referenced are current as of January 2026 and subject to change. Operators should consult qualified legal and environmental counsel for advice specific to their operations and regulatory situation. MCF.digital is not a law firm and does not provide legal services.</w:t>
      </w:r>
    </w:p>
    <w:p>
      <w:pPr>
        <w:spacing w:before="0" w:after="80"/>
      </w:pPr>
      <w:r>
        <w:t xml:space="preserve"/>
      </w:r>
    </w:p>
    <w:p>
      <w:pPr>
        <w:pBdr>
          <w:top w:val="single" w:color="F97316" w:sz="4" w:space="1"/>
        </w:pBdr>
        <w:spacing w:before="160" w:after="0"/>
        <w:jc w:val="center"/>
      </w:pPr>
      <w:r>
        <w:rPr>
          <w:rFonts w:ascii="Arial" w:cs="Arial" w:eastAsia="Arial" w:hAnsi="Arial"/>
          <w:color w:val="4B5563"/>
          <w:sz w:val="18"/>
          <w:szCs w:val="18"/>
        </w:rPr>
        <w:t xml:space="preserve">© 2026 MCF.DIGITAL  |  mcf.digital  |  tools.mcf.digital  |  Annual edition, updated each January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100" w:after="0"/>
    </w:pPr>
    <w:r>
      <w:rPr>
        <w:rFonts w:ascii="Arial" w:cs="Arial" w:eastAsia="Arial" w:hAnsi="Arial"/>
        <w:color w:val="F97316"/>
        <w:sz w:val="18"/>
        <w:szCs w:val="18"/>
      </w:rPr>
      <w:t xml:space="preserve">mcf.digital</w:t>
    </w:r>
    <w:r>
      <w:rPr>
        <w:rFonts w:ascii="Arial" w:cs="Arial" w:eastAsia="Arial" w:hAnsi="Arial"/>
        <w:color w:val="4B5563"/>
        <w:sz w:val="18"/>
        <w:szCs w:val="18"/>
      </w:rPr>
      <w:t xml:space="preserve">  |  tools.mcf.digital</w:t>
    </w:r>
    <w:r>
      <w:rPr>
        <w:rFonts w:ascii="Arial" w:cs="Arial" w:eastAsia="Arial" w:hAnsi="Arial"/>
        <w:sz w:val="18"/>
        <w:szCs w:val="18"/>
      </w:rPr>
      <w:t xml:space="preserve">	</w:t>
    </w: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before="0" w:after="100"/>
    </w:pPr>
    <w:r>
      <w:rPr>
        <w:rFonts w:ascii="Arial" w:cs="Arial" w:eastAsia="Arial" w:hAnsi="Arial"/>
        <w:color w:val="4B5563"/>
        <w:sz w:val="18"/>
        <w:szCs w:val="18"/>
      </w:rPr>
      <w:t xml:space="preserve">MCF.DIGITAL  |  US Flaring Regulation in 2026</w:t>
    </w:r>
    <w:r>
      <w:rPr>
        <w:rFonts w:ascii="Arial" w:cs="Arial" w:eastAsia="Arial" w:hAnsi="Arial"/>
        <w:sz w:val="18"/>
        <w:szCs w:val="18"/>
      </w:rPr>
      <w:t xml:space="preserve">	</w:t>
    </w:r>
    <w:r>
      <w:rPr>
        <w:rFonts w:ascii="Arial" w:cs="Arial" w:eastAsia="Arial" w:hAnsi="Arial"/>
        <w:b/>
        <w:bCs/>
        <w:color w:val="F97316"/>
        <w:sz w:val="18"/>
        <w:szCs w:val="18"/>
      </w:rPr>
      <w:t xml:space="preserve">Annual Regulatory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2026-02-27T16:46:25.171Z</dcterms:created>
  <dcterms:modified xsi:type="dcterms:W3CDTF">2026-02-27T16:46:25.172Z</dcterms:modified>
</cp:coreProperties>
</file>

<file path=docProps/custom.xml><?xml version="1.0" encoding="utf-8"?>
<Properties xmlns="http://schemas.openxmlformats.org/officeDocument/2006/custom-properties" xmlns:vt="http://schemas.openxmlformats.org/officeDocument/2006/docPropsVTypes"/>
</file>