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40"/>
      </w:pPr>
      <w:r>
        <w:t xml:space="preserve"/>
      </w:r>
    </w:p>
    <w:p>
      <w:pPr>
        <w:spacing w:before="0" w:after="80"/>
      </w:pPr>
      <w:r>
        <w:rPr>
          <w:rFonts w:ascii="Arial" w:cs="Arial" w:eastAsia="Arial" w:hAnsi="Arial"/>
          <w:b/>
          <w:bCs/>
          <w:color w:val="F97316"/>
          <w:spacing w:val="120"/>
          <w:sz w:val="24"/>
          <w:szCs w:val="24"/>
        </w:rPr>
        <w:t xml:space="preserve">MCF.DIGITAL</w:t>
      </w:r>
    </w:p>
    <w:p>
      <w:pPr>
        <w:pBdr>
          <w:bottom w:val="single" w:color="F97316" w:sz="12" w:space="1"/>
        </w:pBdr>
        <w:spacing w:before="0" w:after="400"/>
      </w:pPr>
    </w:p>
    <w:p>
      <w:pPr>
        <w:spacing w:before="0" w:after="200"/>
      </w:pPr>
      <w:r>
        <w:rPr>
          <w:rFonts w:ascii="Arial" w:cs="Arial" w:eastAsia="Arial" w:hAnsi="Arial"/>
          <w:b/>
          <w:bCs/>
          <w:color w:val="4B5563"/>
          <w:spacing w:val="120"/>
          <w:sz w:val="20"/>
          <w:szCs w:val="20"/>
        </w:rPr>
        <w:t xml:space="preserve">ANNUAL MARKET REPORT</w:t>
      </w:r>
    </w:p>
    <w:p>
      <w:pPr>
        <w:spacing w:before="0" w:after="120"/>
      </w:pPr>
      <w:r>
        <w:rPr>
          <w:rFonts w:ascii="Arial" w:cs="Arial" w:eastAsia="Arial" w:hAnsi="Arial"/>
          <w:b/>
          <w:bCs/>
          <w:color w:val="0A0A0A"/>
          <w:sz w:val="64"/>
          <w:szCs w:val="64"/>
        </w:rPr>
        <w:t xml:space="preserve">Gas-to-Hash Economics</w:t>
      </w:r>
    </w:p>
    <w:p>
      <w:pPr>
        <w:spacing w:before="0" w:after="200"/>
      </w:pPr>
      <w:r>
        <w:rPr>
          <w:rFonts w:ascii="Arial" w:cs="Arial" w:eastAsia="Arial" w:hAnsi="Arial"/>
          <w:b/>
          <w:bCs/>
          <w:color w:val="F97316"/>
          <w:sz w:val="64"/>
          <w:szCs w:val="64"/>
        </w:rPr>
        <w:t xml:space="preserve">in 2026</w:t>
      </w:r>
    </w:p>
    <w:p>
      <w:pPr>
        <w:spacing w:before="0" w:after="600"/>
      </w:pPr>
      <w:r>
        <w:rPr>
          <w:rFonts w:ascii="Arial" w:cs="Arial" w:eastAsia="Arial" w:hAnsi="Arial"/>
          <w:i/>
          <w:iCs/>
          <w:color w:val="4B5563"/>
          <w:sz w:val="32"/>
          <w:szCs w:val="32"/>
        </w:rPr>
        <w:t xml:space="preserve">A Market Overview</w:t>
      </w:r>
    </w:p>
    <w:p>
      <w:pPr>
        <w:pBdr>
          <w:bottom w:val="single" w:color="E5E7EB" w:sz="4" w:space="1"/>
        </w:pBdr>
        <w:spacing w:before="100" w:after="100"/>
      </w:pPr>
    </w:p>
    <w:p>
      <w:pPr>
        <w:spacing w:before="0" w:after="200"/>
      </w:pPr>
      <w:r>
        <w:t xml:space="preserve"/>
      </w:r>
    </w:p>
    <w:p>
      <w:pPr>
        <w:spacing w:before="0" w:after="120"/>
      </w:pPr>
      <w:r>
        <w:rPr>
          <w:rFonts w:ascii="Arial" w:cs="Arial" w:eastAsia="Arial" w:hAnsi="Arial"/>
          <w:b/>
          <w:bCs/>
          <w:color w:val="1A1A1A"/>
          <w:sz w:val="22"/>
          <w:szCs w:val="22"/>
        </w:rPr>
        <w:t xml:space="preserve">What this report covers</w:t>
      </w:r>
    </w:p>
    <w:p>
      <w:pPr>
        <w:pStyle w:val="ListParagraph"/>
        <w:numPr>
          <w:ilvl w:val="0"/>
          <w:numId w:val="2"/>
        </w:numPr>
        <w:spacing w:before="60" w:after="60"/>
      </w:pPr>
      <w:r>
        <w:rPr>
          <w:rFonts w:ascii="Arial" w:cs="Arial" w:eastAsia="Arial" w:hAnsi="Arial"/>
          <w:color w:val="1A1A1A"/>
          <w:sz w:val="22"/>
          <w:szCs w:val="22"/>
        </w:rPr>
        <w:t xml:space="preserve">Global flare gas volumes and the scale of the monetization opportunity</w:t>
      </w:r>
    </w:p>
    <w:p>
      <w:pPr>
        <w:pStyle w:val="ListParagraph"/>
        <w:numPr>
          <w:ilvl w:val="0"/>
          <w:numId w:val="2"/>
        </w:numPr>
        <w:spacing w:before="60" w:after="60"/>
      </w:pPr>
      <w:r>
        <w:rPr>
          <w:rFonts w:ascii="Arial" w:cs="Arial" w:eastAsia="Arial" w:hAnsi="Arial"/>
          <w:color w:val="1A1A1A"/>
          <w:sz w:val="22"/>
          <w:szCs w:val="22"/>
        </w:rPr>
        <w:t xml:space="preserve">Bitcoin hashprice trends and the 2024–2026 mining economics cycle</w:t>
      </w:r>
    </w:p>
    <w:p>
      <w:pPr>
        <w:pStyle w:val="ListParagraph"/>
        <w:numPr>
          <w:ilvl w:val="0"/>
          <w:numId w:val="2"/>
        </w:numPr>
        <w:spacing w:before="60" w:after="60"/>
      </w:pPr>
      <w:r>
        <w:rPr>
          <w:rFonts w:ascii="Arial" w:cs="Arial" w:eastAsia="Arial" w:hAnsi="Arial"/>
          <w:color w:val="1A1A1A"/>
          <w:sz w:val="22"/>
          <w:szCs w:val="22"/>
        </w:rPr>
        <w:t xml:space="preserve">Deployed capacity of gas-to-hash operations worldwide</w:t>
      </w:r>
    </w:p>
    <w:p>
      <w:pPr>
        <w:pStyle w:val="ListParagraph"/>
        <w:numPr>
          <w:ilvl w:val="0"/>
          <w:numId w:val="2"/>
        </w:numPr>
        <w:spacing w:before="60" w:after="60"/>
      </w:pPr>
      <w:r>
        <w:rPr>
          <w:rFonts w:ascii="Arial" w:cs="Arial" w:eastAsia="Arial" w:hAnsi="Arial"/>
          <w:color w:val="1A1A1A"/>
          <w:sz w:val="22"/>
          <w:szCs w:val="22"/>
        </w:rPr>
        <w:t xml:space="preserve">Break-even economics for new deployments at current gas and BTC prices</w:t>
      </w:r>
    </w:p>
    <w:p>
      <w:pPr>
        <w:pStyle w:val="ListParagraph"/>
        <w:numPr>
          <w:ilvl w:val="0"/>
          <w:numId w:val="2"/>
        </w:numPr>
        <w:spacing w:before="60" w:after="60"/>
      </w:pPr>
      <w:r>
        <w:rPr>
          <w:rFonts w:ascii="Arial" w:cs="Arial" w:eastAsia="Arial" w:hAnsi="Arial"/>
          <w:color w:val="1A1A1A"/>
          <w:sz w:val="22"/>
          <w:szCs w:val="22"/>
        </w:rPr>
        <w:t xml:space="preserve">Basin-by-basin opportunity map: where the economics are strongest</w:t>
      </w:r>
    </w:p>
    <w:p>
      <w:pPr>
        <w:pStyle w:val="ListParagraph"/>
        <w:numPr>
          <w:ilvl w:val="0"/>
          <w:numId w:val="2"/>
        </w:numPr>
        <w:spacing w:before="60" w:after="60"/>
      </w:pPr>
      <w:r>
        <w:rPr>
          <w:rFonts w:ascii="Arial" w:cs="Arial" w:eastAsia="Arial" w:hAnsi="Arial"/>
          <w:color w:val="1A1A1A"/>
          <w:sz w:val="22"/>
          <w:szCs w:val="22"/>
        </w:rPr>
        <w:t xml:space="preserve">12-month outlook: regulatory tailwinds, BTC cycle positioning, and market structure</w:t>
      </w:r>
    </w:p>
    <w:p>
      <w:pPr>
        <w:spacing w:before="0" w:after="400"/>
      </w:pPr>
      <w:r>
        <w:t xml:space="preserve"/>
      </w:r>
    </w:p>
    <w:p>
      <w:pPr>
        <w:pBdr>
          <w:bottom w:val="single" w:color="E5E7EB" w:sz="4" w:space="1"/>
        </w:pBdr>
        <w:spacing w:before="100" w:after="100"/>
      </w:pPr>
    </w:p>
    <w:p>
      <w:pPr>
        <w:spacing w:before="0" w:after="100"/>
      </w:pPr>
      <w:r>
        <w:t xml:space="preserve"/>
      </w:r>
    </w:p>
    <w:p>
      <w:pPr>
        <w:spacing w:before="0" w:after="0"/>
      </w:pPr>
      <w:r>
        <w:rPr>
          <w:rFonts w:ascii="Arial" w:cs="Arial" w:eastAsia="Arial" w:hAnsi="Arial"/>
          <w:color w:val="4B5563"/>
          <w:sz w:val="20"/>
          <w:szCs w:val="20"/>
        </w:rPr>
        <w:t xml:space="preserve">Published February 2026  </w:t>
      </w:r>
      <w:r>
        <w:rPr>
          <w:rFonts w:ascii="Arial" w:cs="Arial" w:eastAsia="Arial" w:hAnsi="Arial"/>
          <w:b/>
          <w:bCs/>
          <w:color w:val="F97316"/>
          <w:sz w:val="20"/>
          <w:szCs w:val="20"/>
        </w:rPr>
        <w:t xml:space="preserve">  mcf.digital</w:t>
      </w:r>
    </w:p>
    <w:p>
      <w:pPr>
        <w:spacing w:before="60" w:after="0"/>
      </w:pPr>
      <w:r>
        <w:rPr>
          <w:rFonts w:ascii="Arial" w:cs="Arial" w:eastAsia="Arial" w:hAnsi="Arial"/>
          <w:i/>
          <w:iCs/>
          <w:color w:val="4B5563"/>
          <w:sz w:val="18"/>
          <w:szCs w:val="18"/>
        </w:rPr>
        <w:t xml:space="preserve">Annual edition — updated each January</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A0A0A"/>
          <w:sz w:val="36"/>
          <w:szCs w:val="36"/>
        </w:rPr>
        <w:t xml:space="preserve">Executive Summary</w:t>
      </w:r>
    </w:p>
    <w:p>
      <w:pPr>
        <w:pBdr>
          <w:bottom w:val="single" w:color="F97316" w:sz="12" w:space="1"/>
        </w:pBdr>
        <w:spacing w:before="160" w:after="160"/>
      </w:pPr>
    </w:p>
    <w:p>
      <w:pPr>
        <w:spacing w:before="80" w:after="140"/>
        <w:jc w:val="both"/>
      </w:pPr>
      <w:r>
        <w:rPr>
          <w:rFonts w:ascii="Arial" w:cs="Arial" w:eastAsia="Arial" w:hAnsi="Arial"/>
          <w:color w:val="1A1A1A"/>
          <w:sz w:val="22"/>
          <w:szCs w:val="22"/>
        </w:rPr>
        <w:t xml:space="preserve">Gas-to-hash deployment — the conversion of wellhead natural gas into Bitcoin hashrate via on-site power generation and compute — has moved from early-adopter experiment to a recognized segment of both the upstream oil and gas industry and the Bitcoin mining sector. This report provides the first comprehensive annual market overview of where the economics stand in 2026, what the global flaring landscape looks like, how hashprice trends have shaped deployment economics, and where the opportunity is strongest for operators and capital allocators entering the market now.</w:t>
      </w:r>
    </w:p>
    <w:p>
      <w:pPr>
        <w:spacing w:before="80" w:after="140"/>
        <w:jc w:val="both"/>
      </w:pPr>
      <w:r>
        <w:rPr>
          <w:rFonts w:ascii="Arial" w:cs="Arial" w:eastAsia="Arial" w:hAnsi="Arial"/>
          <w:color w:val="1A1A1A"/>
          <w:sz w:val="22"/>
          <w:szCs w:val="22"/>
        </w:rPr>
        <w:t xml:space="preserve">The headline finding is straightforward: at current gas prices, current Bitcoin prices, and current network difficulty, new gas-to-hash deployments on quality flare and stranded gas sites generate positive returns across all major deal structures. The economics are not dependent on a bull market in Bitcoin. They are anchored by a structural cost advantage — wellhead gas priced below $1.00/MMBtu on a delivered basis — that grid-connected mining cannot replicate.</w:t>
      </w:r>
    </w:p>
    <w:p>
      <w:pPr>
        <w:spacing w:before="80" w:after="140"/>
        <w:jc w:val="both"/>
      </w:pPr>
      <w:r>
        <w:rPr>
          <w:rFonts w:ascii="Arial" w:cs="Arial" w:eastAsia="Arial" w:hAnsi="Arial"/>
          <w:color w:val="1A1A1A"/>
          <w:sz w:val="22"/>
          <w:szCs w:val="22"/>
        </w:rPr>
        <w:t xml:space="preserve">The four key findings of this report:</w:t>
      </w:r>
    </w:p>
    <w:p>
      <w:pPr>
        <w:pStyle w:val="ListParagraph"/>
        <w:numPr>
          <w:ilvl w:val="0"/>
          <w:numId w:val="2"/>
        </w:numPr>
        <w:spacing w:before="60" w:after="60"/>
      </w:pPr>
      <w:r>
        <w:rPr>
          <w:rFonts w:ascii="Arial" w:cs="Arial" w:eastAsia="Arial" w:hAnsi="Arial"/>
          <w:color w:val="1A1A1A"/>
          <w:sz w:val="22"/>
          <w:szCs w:val="22"/>
        </w:rPr>
        <w:t xml:space="preserve">Global flaring volumes remain at approximately 140 billion cubic meters per year. Less than 3% of that gas is currently being monetized through on-site compute. The addressable market is not shrinking.</w:t>
      </w:r>
    </w:p>
    <w:p>
      <w:pPr>
        <w:pStyle w:val="ListParagraph"/>
        <w:numPr>
          <w:ilvl w:val="0"/>
          <w:numId w:val="2"/>
        </w:numPr>
        <w:spacing w:before="60" w:after="60"/>
      </w:pPr>
      <w:r>
        <w:rPr>
          <w:rFonts w:ascii="Arial" w:cs="Arial" w:eastAsia="Arial" w:hAnsi="Arial"/>
          <w:color w:val="1A1A1A"/>
          <w:sz w:val="22"/>
          <w:szCs w:val="22"/>
        </w:rPr>
        <w:t xml:space="preserve">Bitcoin hashprice has stabilized in a post-halving range of $45–$75/PH/day as of Q4 2025, following the April 2024 halving. New deployments modeled at $50/PH/day hashprice and $0.75/MMBtu wellhead gas produce positive returns at all gas volumes above approximately 150 Mcf/day.</w:t>
      </w:r>
    </w:p>
    <w:p>
      <w:pPr>
        <w:pStyle w:val="ListParagraph"/>
        <w:numPr>
          <w:ilvl w:val="0"/>
          <w:numId w:val="2"/>
        </w:numPr>
        <w:spacing w:before="60" w:after="60"/>
      </w:pPr>
      <w:r>
        <w:rPr>
          <w:rFonts w:ascii="Arial" w:cs="Arial" w:eastAsia="Arial" w:hAnsi="Arial"/>
          <w:color w:val="1A1A1A"/>
          <w:sz w:val="22"/>
          <w:szCs w:val="22"/>
        </w:rPr>
        <w:t xml:space="preserve">Deployed gas-to-hash capacity worldwide is estimated at 1.5–2.5 gigawatts of power (approximately 150–250 EH/s equivalent), representing roughly 5–8% of total global Bitcoin hashrate. The segment is growing but remains fragmented and undercounted.</w:t>
      </w:r>
    </w:p>
    <w:p>
      <w:pPr>
        <w:pStyle w:val="ListParagraph"/>
        <w:numPr>
          <w:ilvl w:val="0"/>
          <w:numId w:val="2"/>
        </w:numPr>
        <w:spacing w:before="60" w:after="60"/>
      </w:pPr>
      <w:r>
        <w:rPr>
          <w:rFonts w:ascii="Arial" w:cs="Arial" w:eastAsia="Arial" w:hAnsi="Arial"/>
          <w:color w:val="1A1A1A"/>
          <w:sz w:val="22"/>
          <w:szCs w:val="22"/>
        </w:rPr>
        <w:t xml:space="preserve">Regulatory pressure on methane emissions is intensifying across all major US flaring basins. The combination of tightening flaring rules and stable-to-rising hashprice creates the strongest structural entry conditions the market has seen since 2021.</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24"/>
              <w:bottom w:val="single" w:color="1D4ED8" w:sz="8"/>
              <w:right w:val="single" w:color="1D4ED8" w:sz="8"/>
            </w:tcBorders>
            <w:shd w:fill="DBEAFE" w:val="clear"/>
            <w:tcMar>
              <w:top w:type="dxa" w:w="160"/>
              <w:left w:type="dxa" w:w="200"/>
              <w:bottom w:type="dxa" w:w="160"/>
              <w:right w:type="dxa" w:w="200"/>
            </w:tcMar>
          </w:tcPr>
          <w:p>
            <w:pPr>
              <w:spacing w:before="0" w:after="80"/>
            </w:pPr>
            <w:r>
              <w:rPr>
                <w:rFonts w:ascii="Arial" w:cs="Arial" w:eastAsia="Arial" w:hAnsi="Arial"/>
                <w:b/>
                <w:bCs/>
                <w:color w:val="1D4ED8"/>
                <w:sz w:val="20"/>
                <w:szCs w:val="20"/>
              </w:rPr>
              <w:t xml:space="preserve">Data note</w:t>
            </w:r>
          </w:p>
          <w:p>
            <w:pPr>
              <w:spacing w:before="40" w:after="40"/>
            </w:pPr>
            <w:r>
              <w:rPr>
                <w:rFonts w:ascii="Arial" w:cs="Arial" w:eastAsia="Arial" w:hAnsi="Arial"/>
                <w:color w:val="1A1A1A"/>
                <w:sz w:val="20"/>
                <w:szCs w:val="20"/>
              </w:rPr>
              <w:t xml:space="preserve">This report draws on publicly available data from the World Bank Global Gas Flaring Tracker, EIA gas price indices, Bitcoin network data from Hashrate Index and Braiins, and MCF.digital's internal deployment analytics. Bitcoin price data current as of February 27, 2026 ($66,019). Hashprice estimates use trailing 30-day averages. Flaring volume data is 2023 (most recent full year available from World Bank, published mid-2024).</w:t>
            </w:r>
          </w:p>
        </w:tc>
      </w:tr>
    </w:tbl>
    <w:p>
      <w:pPr>
        <w:spacing w:before="0" w:after="120"/>
      </w:pPr>
      <w:r>
        <w:t xml:space="preserve"/>
      </w:r>
    </w:p>
    <w:p>
      <w:r>
        <w:br w:type="page"/>
      </w:r>
    </w:p>
    <w:p>
      <w:pPr>
        <w:pStyle w:val="Heading1"/>
        <w:spacing w:before="360" w:after="200"/>
      </w:pPr>
      <w:r>
        <w:rPr>
          <w:rFonts w:ascii="Arial" w:cs="Arial" w:eastAsia="Arial" w:hAnsi="Arial"/>
          <w:b/>
          <w:bCs/>
          <w:color w:val="0A0A0A"/>
          <w:sz w:val="36"/>
          <w:szCs w:val="36"/>
        </w:rPr>
        <w:t xml:space="preserve">1. Global Flaring: The Feedstock Base</w:t>
      </w:r>
    </w:p>
    <w:p>
      <w:pPr>
        <w:pBdr>
          <w:bottom w:val="single" w:color="F97316" w:sz="12" w:space="1"/>
        </w:pBdr>
        <w:spacing w:before="160" w:after="160"/>
      </w:pPr>
    </w:p>
    <w:p>
      <w:pPr>
        <w:pStyle w:val="Heading2"/>
        <w:spacing w:before="280" w:after="140"/>
      </w:pPr>
      <w:r>
        <w:rPr>
          <w:rFonts w:ascii="Arial" w:cs="Arial" w:eastAsia="Arial" w:hAnsi="Arial"/>
          <w:b/>
          <w:bCs/>
          <w:color w:val="0A0A0A"/>
          <w:sz w:val="26"/>
          <w:szCs w:val="26"/>
        </w:rPr>
        <w:t xml:space="preserve">1.1  Scale and Trajectory</w:t>
      </w:r>
    </w:p>
    <w:p>
      <w:pPr>
        <w:spacing w:before="80" w:after="140"/>
        <w:jc w:val="both"/>
      </w:pPr>
      <w:r>
        <w:rPr>
          <w:rFonts w:ascii="Arial" w:cs="Arial" w:eastAsia="Arial" w:hAnsi="Arial"/>
          <w:color w:val="1A1A1A"/>
          <w:sz w:val="22"/>
          <w:szCs w:val="22"/>
        </w:rPr>
        <w:t xml:space="preserve">The World Bank's Global Gas Flaring Tracker estimates that 148 billion cubic meters (bcm) of natural gas were flared worldwide in 2023 — the most recent full year for which complete data are available. That volume is roughly equivalent to the combined annual gas consumption of Sub-Saharan Africa and Central America. At current market prices, it represents approximately $40–50 billion in wasted annual energy value.</w:t>
      </w:r>
    </w:p>
    <w:p>
      <w:pPr>
        <w:spacing w:before="80" w:after="140"/>
        <w:jc w:val="both"/>
      </w:pPr>
      <w:r>
        <w:rPr>
          <w:rFonts w:ascii="Arial" w:cs="Arial" w:eastAsia="Arial" w:hAnsi="Arial"/>
          <w:color w:val="1A1A1A"/>
          <w:sz w:val="22"/>
          <w:szCs w:val="22"/>
        </w:rPr>
        <w:t xml:space="preserve">After declining steadily from 2012 through 2019, global flaring volumes have plateaued. The gains from large-scale flaring reduction programs in Russia, Nigeria, and Iraq have been offset by continued growth in associated gas production in the United States, particularly in the Permian Basin, and by the resumption of production in several conflict-affected regions. The plateau is not a policy failure so much as a structural reality: the gas being flared today is predominantly associated gas from oil production at sites where pipeline infrastructure doesn't exist, doesn't pencil, or isn't competitive.</w:t>
      </w:r>
    </w:p>
    <w:p>
      <w:pPr>
        <w:spacing w:before="0" w:after="80"/>
      </w:pPr>
      <w:r>
        <w:t xml:space="preserve"/>
      </w:r>
    </w:p>
    <w:p>
      <w:pPr>
        <w:spacing w:before="0" w:after="60"/>
      </w:pPr>
      <w:r>
        <w:rPr>
          <w:rFonts w:ascii="Arial" w:cs="Arial" w:eastAsia="Arial" w:hAnsi="Arial"/>
          <w:b/>
          <w:bCs/>
          <w:color w:val="F97316"/>
          <w:spacing w:val="80"/>
          <w:sz w:val="16"/>
          <w:szCs w:val="16"/>
        </w:rPr>
        <w:t xml:space="preserve">GLOBAL FLARING VOLUME BY REGION — 2023</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300"/>
        <w:gridCol w:w="1760"/>
      </w:tblGrid>
      <w:tr>
        <w:tc>
          <w:tcPr>
            <w:tcW w:type="dxa" w:w="28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Region</w:t>
            </w:r>
          </w:p>
        </w:tc>
        <w:tc>
          <w:tcPr>
            <w:tcW w:type="dxa" w:w="25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Flaring Volume (bcm)</w:t>
            </w:r>
          </w:p>
        </w:tc>
        <w:tc>
          <w:tcPr>
            <w:tcW w:type="dxa" w:w="23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Share of Global Total</w:t>
            </w:r>
          </w:p>
        </w:tc>
        <w:tc>
          <w:tcPr>
            <w:tcW w:type="dxa" w:w="176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YoY Change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Russia</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24.5</w:t>
            </w:r>
          </w:p>
        </w:tc>
        <w:tc>
          <w:tcPr>
            <w:tcW w:type="dxa" w:w="23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16.6%</w:t>
            </w:r>
          </w:p>
        </w:tc>
        <w:tc>
          <w:tcPr>
            <w:tcW w:type="dxa" w:w="1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-2.1%</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Iraq</w:t>
            </w:r>
          </w:p>
        </w:tc>
        <w:tc>
          <w:tcPr>
            <w:tcW w:type="dxa" w:w="2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17.8</w:t>
            </w:r>
          </w:p>
        </w:tc>
        <w:tc>
          <w:tcPr>
            <w:tcW w:type="dxa" w:w="23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12.0%</w:t>
            </w:r>
          </w:p>
        </w:tc>
        <w:tc>
          <w:tcPr>
            <w:tcW w:type="dxa" w:w="17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+3.4%</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Iran</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13.2</w:t>
            </w:r>
          </w:p>
        </w:tc>
        <w:tc>
          <w:tcPr>
            <w:tcW w:type="dxa" w:w="23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8.9%</w:t>
            </w:r>
          </w:p>
        </w:tc>
        <w:tc>
          <w:tcPr>
            <w:tcW w:type="dxa" w:w="1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United States</w:t>
            </w:r>
          </w:p>
        </w:tc>
        <w:tc>
          <w:tcPr>
            <w:tcW w:type="dxa" w:w="2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12.9</w:t>
            </w:r>
          </w:p>
        </w:tc>
        <w:tc>
          <w:tcPr>
            <w:tcW w:type="dxa" w:w="23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8.7%</w:t>
            </w:r>
          </w:p>
        </w:tc>
        <w:tc>
          <w:tcPr>
            <w:tcW w:type="dxa" w:w="17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+0.8%</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Venezuela</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9.1</w:t>
            </w:r>
          </w:p>
        </w:tc>
        <w:tc>
          <w:tcPr>
            <w:tcW w:type="dxa" w:w="23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6.1%</w:t>
            </w:r>
          </w:p>
        </w:tc>
        <w:tc>
          <w:tcPr>
            <w:tcW w:type="dxa" w:w="1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Algeria</w:t>
            </w:r>
          </w:p>
        </w:tc>
        <w:tc>
          <w:tcPr>
            <w:tcW w:type="dxa" w:w="2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7.4</w:t>
            </w:r>
          </w:p>
        </w:tc>
        <w:tc>
          <w:tcPr>
            <w:tcW w:type="dxa" w:w="23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17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+0.3%</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Nigeria</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6.8</w:t>
            </w:r>
          </w:p>
        </w:tc>
        <w:tc>
          <w:tcPr>
            <w:tcW w:type="dxa" w:w="23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4.6%</w:t>
            </w:r>
          </w:p>
        </w:tc>
        <w:tc>
          <w:tcPr>
            <w:tcW w:type="dxa" w:w="1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-3.2%</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Other</w:t>
            </w:r>
          </w:p>
        </w:tc>
        <w:tc>
          <w:tcPr>
            <w:tcW w:type="dxa" w:w="2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56.3</w:t>
            </w:r>
          </w:p>
        </w:tc>
        <w:tc>
          <w:tcPr>
            <w:tcW w:type="dxa" w:w="23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38.0%</w:t>
            </w:r>
          </w:p>
        </w:tc>
        <w:tc>
          <w:tcPr>
            <w:tcW w:type="dxa" w:w="17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mixed</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Global Total</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148.0</w:t>
            </w:r>
          </w:p>
        </w:tc>
        <w:tc>
          <w:tcPr>
            <w:tcW w:type="dxa" w:w="23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1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+0.4%</w:t>
            </w:r>
          </w:p>
        </w:tc>
      </w:tr>
    </w:tbl>
    <w:p>
      <w:pPr>
        <w:spacing w:before="60" w:after="160"/>
        <w:jc w:val="center"/>
      </w:pPr>
      <w:r>
        <w:rPr>
          <w:rFonts w:ascii="Arial" w:cs="Arial" w:eastAsia="Arial" w:hAnsi="Arial"/>
          <w:i/>
          <w:iCs/>
          <w:color w:val="4B5563"/>
          <w:sz w:val="18"/>
          <w:szCs w:val="18"/>
        </w:rPr>
        <w:t xml:space="preserve">Source: World Bank Global Gas Flaring Tracker, 2024 publication (2023 data). Figures rounded.</w:t>
      </w:r>
    </w:p>
    <w:p>
      <w:pPr>
        <w:spacing w:before="0" w:after="80"/>
      </w:pPr>
      <w:r>
        <w:t xml:space="preserve"/>
      </w:r>
    </w:p>
    <w:p>
      <w:pPr>
        <w:pStyle w:val="Heading2"/>
        <w:spacing w:before="280" w:after="140"/>
      </w:pPr>
      <w:r>
        <w:rPr>
          <w:rFonts w:ascii="Arial" w:cs="Arial" w:eastAsia="Arial" w:hAnsi="Arial"/>
          <w:b/>
          <w:bCs/>
          <w:color w:val="0A0A0A"/>
          <w:sz w:val="26"/>
          <w:szCs w:val="26"/>
        </w:rPr>
        <w:t xml:space="preserve">1.2  The US Flaring Landscape</w:t>
      </w:r>
    </w:p>
    <w:p>
      <w:pPr>
        <w:spacing w:before="80" w:after="140"/>
        <w:jc w:val="both"/>
      </w:pPr>
      <w:r>
        <w:rPr>
          <w:rFonts w:ascii="Arial" w:cs="Arial" w:eastAsia="Arial" w:hAnsi="Arial"/>
          <w:color w:val="1A1A1A"/>
          <w:sz w:val="22"/>
          <w:szCs w:val="22"/>
        </w:rPr>
        <w:t xml:space="preserve">The United States is the fourth-largest flaring nation by volume and the most significant from a gas-to-hash deployment perspective — not because it flares the most gas, but because it flares in the world's most commercially accessible regulatory environment. US flaring is concentrated in four basins: the Permian (Texas and New Mexico), the Bakken (North Dakota), the Eagle Ford (South Texas), and the DJ Basin (Colorado). Together, these four basins account for approximately 85% of US flaring volume.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Basin</w:t>
            </w:r>
          </w:p>
        </w:tc>
        <w:tc>
          <w:tcPr>
            <w:tcW w:type="dxa" w:w="22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Estimated Flaring Volume</w:t>
            </w:r>
          </w:p>
        </w:tc>
        <w:tc>
          <w:tcPr>
            <w:tcW w:type="dxa" w:w="22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Flare Rate (% of production)</w:t>
            </w:r>
          </w:p>
        </w:tc>
        <w:tc>
          <w:tcPr>
            <w:tcW w:type="dxa" w:w="236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Primary Regulatory Body</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Permian (TX/NM)</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~5.2 bcm/yr</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1.8–2.4%</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TCEQ / NMOCD</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Bakken (ND)</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~3.1 bcm/yr</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5.2–6.8%</w:t>
            </w:r>
          </w:p>
        </w:tc>
        <w:tc>
          <w:tcPr>
            <w:tcW w:type="dxa" w:w="2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NDIC</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Eagle Ford (TX)</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~1.9 bcm/yr</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1.4–2.1%</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TCEQ</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DJ Basin (CO)</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~0.6 bcm/yr</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0.7–1.1%</w:t>
            </w:r>
          </w:p>
        </w:tc>
        <w:tc>
          <w:tcPr>
            <w:tcW w:type="dxa" w:w="2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COGCC</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Other US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~2.1 bcm/yr</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varies</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varies</w:t>
            </w:r>
          </w:p>
        </w:tc>
      </w:tr>
    </w:tbl>
    <w:p>
      <w:pPr>
        <w:spacing w:before="60" w:after="160"/>
        <w:jc w:val="center"/>
      </w:pPr>
      <w:r>
        <w:rPr>
          <w:rFonts w:ascii="Arial" w:cs="Arial" w:eastAsia="Arial" w:hAnsi="Arial"/>
          <w:i/>
          <w:iCs/>
          <w:color w:val="4B5563"/>
          <w:sz w:val="18"/>
          <w:szCs w:val="18"/>
        </w:rPr>
        <w:t xml:space="preserve">Source: EIA Drilling Productivity Report, state regulatory filings, World Bank GGFT. Estimates as of 2023–2024.</w:t>
      </w:r>
    </w:p>
    <w:p>
      <w:pPr>
        <w:spacing w:before="0" w:after="80"/>
      </w:pPr>
      <w:r>
        <w:t xml:space="preserve"/>
      </w:r>
    </w:p>
    <w:p>
      <w:pPr>
        <w:spacing w:before="80" w:after="140"/>
        <w:jc w:val="both"/>
      </w:pPr>
      <w:r>
        <w:rPr>
          <w:rFonts w:ascii="Arial" w:cs="Arial" w:eastAsia="Arial" w:hAnsi="Arial"/>
          <w:color w:val="1A1A1A"/>
          <w:sz w:val="22"/>
          <w:szCs w:val="22"/>
        </w:rPr>
        <w:t xml:space="preserve">The Permian Basin alone accounts for more US flaring than all other basins combined, and Permian flaring volumes have been resistant to reduction efforts despite significant regulatory and public pressure. The primary driver is new production: operators are bringing new wells online faster than gathering infrastructure is being built. The result is a continuous pipeline of sites that are structurally suited to gas-to-hash deployment — remote, gas-heavy, with no near-term pipeline solution.</w:t>
      </w:r>
    </w:p>
    <w:p>
      <w:pPr>
        <w:pStyle w:val="Heading2"/>
        <w:spacing w:before="280" w:after="140"/>
      </w:pPr>
      <w:r>
        <w:rPr>
          <w:rFonts w:ascii="Arial" w:cs="Arial" w:eastAsia="Arial" w:hAnsi="Arial"/>
          <w:b/>
          <w:bCs/>
          <w:color w:val="0A0A0A"/>
          <w:sz w:val="26"/>
          <w:szCs w:val="26"/>
        </w:rPr>
        <w:t xml:space="preserve">1.3  What Makes Gas Monetizable via Hash</w:t>
      </w:r>
    </w:p>
    <w:p>
      <w:pPr>
        <w:spacing w:before="80" w:after="140"/>
        <w:jc w:val="both"/>
      </w:pPr>
      <w:r>
        <w:rPr>
          <w:rFonts w:ascii="Arial" w:cs="Arial" w:eastAsia="Arial" w:hAnsi="Arial"/>
          <w:color w:val="1A1A1A"/>
          <w:sz w:val="22"/>
          <w:szCs w:val="22"/>
        </w:rPr>
        <w:t xml:space="preserve">Not all flared gas is suitable for gas-to-hash deployment. The feasibility screening criteria that MCF.digital applies to prospective sites reflect the operational realities of on-lease compute:</w:t>
      </w:r>
    </w:p>
    <w:p>
      <w:pPr>
        <w:pStyle w:val="ListParagraph"/>
        <w:numPr>
          <w:ilvl w:val="0"/>
          <w:numId w:val="2"/>
        </w:numPr>
        <w:spacing w:before="60" w:after="60"/>
      </w:pPr>
      <w:r>
        <w:rPr>
          <w:rFonts w:ascii="Arial" w:cs="Arial" w:eastAsia="Arial" w:hAnsi="Arial"/>
          <w:color w:val="1A1A1A"/>
          <w:sz w:val="22"/>
          <w:szCs w:val="22"/>
        </w:rPr>
        <w:t xml:space="preserve">Volume threshold: Minimum of approximately 100–150 Mcf/day (megacubic feet per day) to support a single genset configuration. Sites producing below this threshold do not generate enough power to justify the fixed costs of a deployment.</w:t>
      </w:r>
    </w:p>
    <w:p>
      <w:pPr>
        <w:pStyle w:val="ListParagraph"/>
        <w:numPr>
          <w:ilvl w:val="0"/>
          <w:numId w:val="2"/>
        </w:numPr>
        <w:spacing w:before="60" w:after="60"/>
      </w:pPr>
      <w:r>
        <w:rPr>
          <w:rFonts w:ascii="Arial" w:cs="Arial" w:eastAsia="Arial" w:hAnsi="Arial"/>
          <w:color w:val="1A1A1A"/>
          <w:sz w:val="22"/>
          <w:szCs w:val="22"/>
        </w:rPr>
        <w:t xml:space="preserve">Gas quality: Methane number above 65 is preferred for standard genset configurations. Higher NGL content (ethane, propane) reduces methane number and may require fuel conditioning. H2S content above 200 ppm requires additional treatment but is not disqualifying.</w:t>
      </w:r>
    </w:p>
    <w:p>
      <w:pPr>
        <w:pStyle w:val="ListParagraph"/>
        <w:numPr>
          <w:ilvl w:val="0"/>
          <w:numId w:val="2"/>
        </w:numPr>
        <w:spacing w:before="60" w:after="60"/>
      </w:pPr>
      <w:r>
        <w:rPr>
          <w:rFonts w:ascii="Arial" w:cs="Arial" w:eastAsia="Arial" w:hAnsi="Arial"/>
          <w:color w:val="1A1A1A"/>
          <w:sz w:val="22"/>
          <w:szCs w:val="22"/>
        </w:rPr>
        <w:t xml:space="preserve">Wellhead pressure: Minimum of 2–4 PSI at the gas inlet to the generator. Low-pressure sites may require compression.</w:t>
      </w:r>
    </w:p>
    <w:p>
      <w:pPr>
        <w:pStyle w:val="ListParagraph"/>
        <w:numPr>
          <w:ilvl w:val="0"/>
          <w:numId w:val="2"/>
        </w:numPr>
        <w:spacing w:before="60" w:after="60"/>
      </w:pPr>
      <w:r>
        <w:rPr>
          <w:rFonts w:ascii="Arial" w:cs="Arial" w:eastAsia="Arial" w:hAnsi="Arial"/>
          <w:color w:val="1A1A1A"/>
          <w:sz w:val="22"/>
          <w:szCs w:val="22"/>
        </w:rPr>
        <w:t xml:space="preserve">Site access: Year-round road access for service vehicles, adequate pad space for generator and container placement, and electrical interconnect feasibility.</w:t>
      </w:r>
    </w:p>
    <w:p>
      <w:pPr>
        <w:spacing w:before="80" w:after="140"/>
        <w:jc w:val="both"/>
      </w:pPr>
      <w:r>
        <w:rPr>
          <w:rFonts w:ascii="Arial" w:cs="Arial" w:eastAsia="Arial" w:hAnsi="Arial"/>
          <w:color w:val="1A1A1A"/>
          <w:sz w:val="22"/>
          <w:szCs w:val="22"/>
        </w:rPr>
        <w:t xml:space="preserve">Applying these screens to the US flaring universe, MCF.digital estimates that approximately 30–40% of actively flaring US sites meet baseline deployment criteria. The total monetizable flaring volume in the US alone exceeds 7 bcm/year — far in excess of current deployed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24"/>
              <w:bottom w:val="single" w:color="059669" w:sz="8"/>
              <w:right w:val="single" w:color="059669" w:sz="8"/>
            </w:tcBorders>
            <w:shd w:fill="D1FAE5" w:val="clear"/>
            <w:tcMar>
              <w:top w:type="dxa" w:w="160"/>
              <w:left w:type="dxa" w:w="200"/>
              <w:bottom w:type="dxa" w:w="160"/>
              <w:right w:type="dxa" w:w="200"/>
            </w:tcMar>
          </w:tcPr>
          <w:p>
            <w:pPr>
              <w:spacing w:before="0" w:after="80"/>
            </w:pPr>
            <w:r>
              <w:rPr>
                <w:rFonts w:ascii="Arial" w:cs="Arial" w:eastAsia="Arial" w:hAnsi="Arial"/>
                <w:b/>
                <w:bCs/>
                <w:color w:val="059669"/>
                <w:sz w:val="20"/>
                <w:szCs w:val="20"/>
              </w:rPr>
              <w:t xml:space="preserve">Key takeaway — Section 1</w:t>
            </w:r>
          </w:p>
          <w:p>
            <w:pPr>
              <w:spacing w:before="40" w:after="40"/>
            </w:pPr>
            <w:r>
              <w:rPr>
                <w:rFonts w:ascii="Arial" w:cs="Arial" w:eastAsia="Arial" w:hAnsi="Arial"/>
                <w:color w:val="1A1A1A"/>
                <w:sz w:val="20"/>
                <w:szCs w:val="20"/>
              </w:rPr>
              <w:t xml:space="preserve">The feedstock is not the constraint. There is more monetizable flaring volume in the United States alone than the entire deployed gas-to-hash sector can absorb at current scale. The binding constraints are capital deployment speed, operator trust, and deal structure clarity — not the availability of gas.</w:t>
            </w:r>
          </w:p>
        </w:tc>
      </w:tr>
    </w:tbl>
    <w:p>
      <w:pPr>
        <w:spacing w:before="0" w:after="120"/>
      </w:pPr>
      <w:r>
        <w:t xml:space="preserve"/>
      </w:r>
    </w:p>
    <w:p>
      <w:r>
        <w:br w:type="page"/>
      </w:r>
    </w:p>
    <w:p>
      <w:pPr>
        <w:pStyle w:val="Heading1"/>
        <w:spacing w:before="360" w:after="200"/>
      </w:pPr>
      <w:r>
        <w:rPr>
          <w:rFonts w:ascii="Arial" w:cs="Arial" w:eastAsia="Arial" w:hAnsi="Arial"/>
          <w:b/>
          <w:bCs/>
          <w:color w:val="0A0A0A"/>
          <w:sz w:val="36"/>
          <w:szCs w:val="36"/>
        </w:rPr>
        <w:t xml:space="preserve">2. Bitcoin Network Economics and Hashprice</w:t>
      </w:r>
    </w:p>
    <w:p>
      <w:pPr>
        <w:pBdr>
          <w:bottom w:val="single" w:color="F97316" w:sz="12" w:space="1"/>
        </w:pBdr>
        <w:spacing w:before="160" w:after="160"/>
      </w:pPr>
    </w:p>
    <w:p>
      <w:pPr>
        <w:pStyle w:val="Heading2"/>
        <w:spacing w:before="280" w:after="140"/>
      </w:pPr>
      <w:r>
        <w:rPr>
          <w:rFonts w:ascii="Arial" w:cs="Arial" w:eastAsia="Arial" w:hAnsi="Arial"/>
          <w:b/>
          <w:bCs/>
          <w:color w:val="0A0A0A"/>
          <w:sz w:val="26"/>
          <w:szCs w:val="26"/>
        </w:rPr>
        <w:t xml:space="preserve">2.1  The 2024 Halving and Its Aftermath</w:t>
      </w:r>
    </w:p>
    <w:p>
      <w:pPr>
        <w:spacing w:before="80" w:after="140"/>
        <w:jc w:val="both"/>
      </w:pPr>
      <w:r>
        <w:rPr>
          <w:rFonts w:ascii="Arial" w:cs="Arial" w:eastAsia="Arial" w:hAnsi="Arial"/>
          <w:color w:val="1A1A1A"/>
          <w:sz w:val="22"/>
          <w:szCs w:val="22"/>
        </w:rPr>
        <w:t xml:space="preserve">The April 2024 Bitcoin block reward halving reduced the per-block subsidy from 6.25 BTC to 3.125 BTC. Halvings are the most predictable structural events in Bitcoin mining economics: they cut miner revenue in half (at constant price and difficulty) overnight, compressing margins across the industry. The 2024 halving was the fourth since Bitcoin's genesis, and its economic impact was more muted than the two preceding it — primarily because the halving occurred in the context of a strong BTC price environment and because institutional adoption had deepened the market's ability to absorb the miner revenue shock.</w:t>
      </w:r>
    </w:p>
    <w:p>
      <w:pPr>
        <w:spacing w:before="80" w:after="140"/>
        <w:jc w:val="both"/>
      </w:pPr>
      <w:r>
        <w:rPr>
          <w:rFonts w:ascii="Arial" w:cs="Arial" w:eastAsia="Arial" w:hAnsi="Arial"/>
          <w:color w:val="1A1A1A"/>
          <w:sz w:val="22"/>
          <w:szCs w:val="22"/>
        </w:rPr>
        <w:t xml:space="preserve">The post-halving mining cycle has followed a familiar pattern: an initial margin compression period lasting approximately 60–90 days, followed by difficulty adjustment downward as high-cost miners exited, followed by margin recovery as the surviving miner base operated at higher network share. By Q3 2024, Bitcoin price appreciation had offset most of the halving's revenue impact for well-capitalized operators. By Q4 2024, hashprice had stabilized in the $45–$75/PH/day range that characterizes the current market environment.</w:t>
      </w:r>
    </w:p>
    <w:p>
      <w:pPr>
        <w:spacing w:before="80" w:after="140"/>
        <w:jc w:val="both"/>
      </w:pPr>
      <w:r>
        <w:rPr>
          <w:rFonts w:ascii="Arial" w:cs="Arial" w:eastAsia="Arial" w:hAnsi="Arial"/>
          <w:color w:val="1A1A1A"/>
          <w:sz w:val="22"/>
          <w:szCs w:val="22"/>
        </w:rPr>
        <w:t xml:space="preserve">As of February 27, 2026, Bitcoin trades at approximately $66,019, with a total network hashrate of approximately 780–820 EH/s. This hashrate level represents significant growth from pre-halving levels and reflects continued investment in efficient ASIC hardware despite the reduced block subsidy.</w:t>
      </w:r>
    </w:p>
    <w:p>
      <w:pPr>
        <w:pStyle w:val="Heading2"/>
        <w:spacing w:before="280" w:after="140"/>
      </w:pPr>
      <w:r>
        <w:rPr>
          <w:rFonts w:ascii="Arial" w:cs="Arial" w:eastAsia="Arial" w:hAnsi="Arial"/>
          <w:b/>
          <w:bCs/>
          <w:color w:val="0A0A0A"/>
          <w:sz w:val="26"/>
          <w:szCs w:val="26"/>
        </w:rPr>
        <w:t xml:space="preserve">2.2  Understanding Hashprice</w:t>
      </w:r>
    </w:p>
    <w:p>
      <w:pPr>
        <w:spacing w:before="80" w:after="140"/>
        <w:jc w:val="both"/>
      </w:pPr>
      <w:r>
        <w:rPr>
          <w:rFonts w:ascii="Arial" w:cs="Arial" w:eastAsia="Arial" w:hAnsi="Arial"/>
          <w:color w:val="1A1A1A"/>
          <w:sz w:val="22"/>
          <w:szCs w:val="22"/>
        </w:rPr>
        <w:t xml:space="preserve">Hashprice is the most important single metric for evaluating Bitcoin mining economics. Defined as daily revenue per petahash per second (PH/s) of mining capacity, hashprice integrates the three variables that drive mining profitability: Bitcoin price, network difficulty, and block subsidy. A hashprice of $50/PH/day means that a miner with 1 PH/s of capacity earns $50 per day before costs.</w:t>
      </w:r>
    </w:p>
    <w:p>
      <w:pPr>
        <w:spacing w:before="80" w:after="140"/>
        <w:jc w:val="both"/>
      </w:pPr>
      <w:r>
        <w:rPr>
          <w:rFonts w:ascii="Arial" w:cs="Arial" w:eastAsia="Arial" w:hAnsi="Arial"/>
          <w:color w:val="1A1A1A"/>
          <w:sz w:val="22"/>
          <w:szCs w:val="22"/>
        </w:rPr>
        <w:t xml:space="preserve">For gas-to-hash deployments, hashprice is the revenue side of the economic equation. The cost side is determined primarily by the effective cost of gas power — which, for wellhead gas at stranded prices, is dramatically lower than grid power in any US market. The spread between wellhead power cost and hashprice revenue defines the deployment margin.</w:t>
      </w:r>
    </w:p>
    <w:p>
      <w:pPr>
        <w:spacing w:before="0" w:after="80"/>
      </w:pPr>
      <w:r>
        <w:t xml:space="preserve"/>
      </w:r>
    </w:p>
    <w:p>
      <w:pPr>
        <w:spacing w:before="0" w:after="60"/>
      </w:pPr>
      <w:r>
        <w:rPr>
          <w:rFonts w:ascii="Arial" w:cs="Arial" w:eastAsia="Arial" w:hAnsi="Arial"/>
          <w:b/>
          <w:bCs/>
          <w:color w:val="F97316"/>
          <w:spacing w:val="80"/>
          <w:sz w:val="16"/>
          <w:szCs w:val="16"/>
        </w:rPr>
        <w:t xml:space="preserve">BITCOIN HASHPRICE — HISTORICAL REFERENCE POINTS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Period</w:t>
            </w:r>
          </w:p>
        </w:tc>
        <w:tc>
          <w:tcPr>
            <w:tcW w:type="dxa" w:w="22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Avg Hashprice ($/PH/day)</w:t>
            </w:r>
          </w:p>
        </w:tc>
        <w:tc>
          <w:tcPr>
            <w:tcW w:type="dxa" w:w="22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BTC Price (approx.)</w:t>
            </w:r>
          </w:p>
        </w:tc>
        <w:tc>
          <w:tcPr>
            <w:tcW w:type="dxa" w:w="256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Network Hashrate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Q1 2023</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$63</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~$24,000</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~310 EH/s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Q3 2023</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$78</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~$29,000</w:t>
            </w:r>
          </w:p>
        </w:tc>
        <w:tc>
          <w:tcPr>
            <w:tcW w:type="dxa" w:w="2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~380 EH/s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Q1 2024 (pre-halving)</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$141</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~$65,000</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~580 EH/s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Q2 2024 (post-halving)</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$49</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~$62,000</w:t>
            </w:r>
          </w:p>
        </w:tc>
        <w:tc>
          <w:tcPr>
            <w:tcW w:type="dxa" w:w="2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~580 EH/s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Q4 2024</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$61</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~$85,000</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~690 EH/s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Q1 2025</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$55</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~$78,000</w:t>
            </w:r>
          </w:p>
        </w:tc>
        <w:tc>
          <w:tcPr>
            <w:tcW w:type="dxa" w:w="2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~720 EH/s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Q3 2025</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$48</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~$64,000</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~780 EH/s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Feb 2026 (current)</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~$52</w:t>
            </w:r>
          </w:p>
        </w:tc>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~$66,019</w:t>
            </w:r>
          </w:p>
        </w:tc>
        <w:tc>
          <w:tcPr>
            <w:tcW w:type="dxa" w:w="2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~800 EH/s</w:t>
            </w:r>
          </w:p>
        </w:tc>
      </w:tr>
    </w:tbl>
    <w:p>
      <w:pPr>
        <w:spacing w:before="60" w:after="160"/>
        <w:jc w:val="center"/>
      </w:pPr>
      <w:r>
        <w:rPr>
          <w:rFonts w:ascii="Arial" w:cs="Arial" w:eastAsia="Arial" w:hAnsi="Arial"/>
          <w:i/>
          <w:iCs/>
          <w:color w:val="4B5563"/>
          <w:sz w:val="18"/>
          <w:szCs w:val="18"/>
        </w:rPr>
        <w:t xml:space="preserve">Source: Hashrate Index, Braiins Pool data, CoinGecko. Hashprice = BTC block reward × BTC price ÷ (network hashrate × 86,400 seconds). Historical figures are estimates.</w:t>
      </w:r>
    </w:p>
    <w:p>
      <w:pPr>
        <w:spacing w:before="0" w:after="80"/>
      </w:pPr>
      <w:r>
        <w:t xml:space="preserve"/>
      </w:r>
    </w:p>
    <w:p>
      <w:pPr>
        <w:pStyle w:val="Heading2"/>
        <w:spacing w:before="280" w:after="140"/>
      </w:pPr>
      <w:r>
        <w:rPr>
          <w:rFonts w:ascii="Arial" w:cs="Arial" w:eastAsia="Arial" w:hAnsi="Arial"/>
          <w:b/>
          <w:bCs/>
          <w:color w:val="0A0A0A"/>
          <w:sz w:val="26"/>
          <w:szCs w:val="26"/>
        </w:rPr>
        <w:t xml:space="preserve">2.3  Why Gas-to-Hash Operators Are Insulated from Hashprice Volatility</w:t>
      </w:r>
    </w:p>
    <w:p>
      <w:pPr>
        <w:spacing w:before="80" w:after="140"/>
        <w:jc w:val="both"/>
      </w:pPr>
      <w:r>
        <w:rPr>
          <w:rFonts w:ascii="Arial" w:cs="Arial" w:eastAsia="Arial" w:hAnsi="Arial"/>
          <w:color w:val="1A1A1A"/>
          <w:sz w:val="22"/>
          <w:szCs w:val="22"/>
        </w:rPr>
        <w:t xml:space="preserve">The critical structural advantage of on-lease gas-to-hash operations is their all-in cost per PH/day. Grid-connected mining facilities in North America typically face all-in power and opex costs equivalent to $25–$45/PH/day at current hardware efficiencies. Gas-to-hash operations at wellhead gas prices of $0.50–$1.00/MMBtu face all-in costs of $10–$20/PH/day at comparable hardware efficiencies.</w:t>
      </w:r>
    </w:p>
    <w:p>
      <w:pPr>
        <w:spacing w:before="80" w:after="140"/>
        <w:jc w:val="both"/>
      </w:pPr>
      <w:r>
        <w:rPr>
          <w:rFonts w:ascii="Arial" w:cs="Arial" w:eastAsia="Arial" w:hAnsi="Arial"/>
          <w:color w:val="1A1A1A"/>
          <w:sz w:val="22"/>
          <w:szCs w:val="22"/>
        </w:rPr>
        <w:t xml:space="preserve">This $15–$25/PH/day cost advantage means that gas-to-hash operations remain profitable at hashprice levels that force grid-connected miners to shut down. A deployment that breaks even at $18/PH/day hashprice is effectively immune to the business cycle volatility that affects the broader mining industry. That breakeven floor corresponds to a Bitcoin price of approximately $12,000–$18,000 at current network difficulty — well below any price level seen since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24"/>
              <w:bottom w:val="single" w:color="D97706" w:sz="8"/>
              <w:right w:val="single" w:color="D97706" w:sz="8"/>
            </w:tcBorders>
            <w:shd w:fill="FEF3C7" w:val="clear"/>
            <w:tcMar>
              <w:top w:type="dxa" w:w="160"/>
              <w:left w:type="dxa" w:w="200"/>
              <w:bottom w:type="dxa" w:w="160"/>
              <w:right w:type="dxa" w:w="200"/>
            </w:tcMar>
          </w:tcPr>
          <w:p>
            <w:pPr>
              <w:spacing w:before="0" w:after="80"/>
            </w:pPr>
            <w:r>
              <w:rPr>
                <w:rFonts w:ascii="Arial" w:cs="Arial" w:eastAsia="Arial" w:hAnsi="Arial"/>
                <w:b/>
                <w:bCs/>
                <w:color w:val="D97706"/>
                <w:sz w:val="20"/>
                <w:szCs w:val="20"/>
              </w:rPr>
              <w:t xml:space="preserve">Hashprice sensitivity illustration</w:t>
            </w:r>
          </w:p>
          <w:p>
            <w:pPr>
              <w:spacing w:before="40" w:after="40"/>
            </w:pPr>
            <w:r>
              <w:rPr>
                <w:rFonts w:ascii="Arial" w:cs="Arial" w:eastAsia="Arial" w:hAnsi="Arial"/>
                <w:color w:val="1A1A1A"/>
                <w:sz w:val="20"/>
                <w:szCs w:val="20"/>
              </w:rPr>
              <w:t xml:space="preserve">At current gas prices and hardware efficiency (J/TH ≈ 21–25 for current-generation ASICs):</w:t>
            </w:r>
          </w:p>
          <w:p>
            <w:pPr>
              <w:spacing w:before="40" w:after="40"/>
            </w:pPr>
            <w:r>
              <w:rPr>
                <w:rFonts w:ascii="Arial" w:cs="Arial" w:eastAsia="Arial" w:hAnsi="Arial"/>
                <w:color w:val="1A1A1A"/>
                <w:sz w:val="20"/>
                <w:szCs w:val="20"/>
              </w:rPr>
              <w:t xml:space="preserve">• $0.50/MMBtu wellhead gas → effective power cost ≈ $0.010–$0.013/kWh → breakeven hashprice ≈ $12–15/PH/day</w:t>
            </w:r>
          </w:p>
          <w:p>
            <w:pPr>
              <w:spacing w:before="40" w:after="40"/>
            </w:pPr>
            <w:r>
              <w:rPr>
                <w:rFonts w:ascii="Arial" w:cs="Arial" w:eastAsia="Arial" w:hAnsi="Arial"/>
                <w:color w:val="1A1A1A"/>
                <w:sz w:val="20"/>
                <w:szCs w:val="20"/>
              </w:rPr>
              <w:t xml:space="preserve">• $1.00/MMBtu wellhead gas → effective power cost ≈ $0.020–$0.026/kWh → breakeven hashprice ≈ $18–22/PH/day</w:t>
            </w:r>
          </w:p>
          <w:p>
            <w:pPr>
              <w:spacing w:before="40" w:after="40"/>
            </w:pPr>
            <w:r>
              <w:rPr>
                <w:rFonts w:ascii="Arial" w:cs="Arial" w:eastAsia="Arial" w:hAnsi="Arial"/>
                <w:color w:val="1A1A1A"/>
                <w:sz w:val="20"/>
                <w:szCs w:val="20"/>
              </w:rPr>
              <w:t xml:space="preserve">• $2.00/MMBtu wellhead gas → effective power cost ≈ $0.040–$0.052/kWh → breakeven hashprice ≈ $28–35/PH/day</w:t>
            </w:r>
          </w:p>
          <w:p>
            <w:pPr>
              <w:spacing w:before="40" w:after="40"/>
            </w:pPr>
            <w:r>
              <w:rPr>
                <w:rFonts w:ascii="Arial" w:cs="Arial" w:eastAsia="Arial" w:hAnsi="Arial"/>
                <w:color w:val="1A1A1A"/>
                <w:sz w:val="20"/>
                <w:szCs w:val="20"/>
              </w:rPr>
              <w:t xml:space="preserve">Current hashprice (~$52/PH/day) provides 2.5–4x margin over breakeven at stranded gas prices.</w:t>
            </w:r>
          </w:p>
        </w:tc>
      </w:tr>
    </w:tbl>
    <w:p>
      <w:pPr>
        <w:spacing w:before="0" w:after="120"/>
      </w:pPr>
      <w:r>
        <w:t xml:space="preserve"/>
      </w:r>
    </w:p>
    <w:p>
      <w:r>
        <w:br w:type="page"/>
      </w:r>
    </w:p>
    <w:p>
      <w:pPr>
        <w:pStyle w:val="Heading1"/>
        <w:spacing w:before="360" w:after="200"/>
      </w:pPr>
      <w:r>
        <w:rPr>
          <w:rFonts w:ascii="Arial" w:cs="Arial" w:eastAsia="Arial" w:hAnsi="Arial"/>
          <w:b/>
          <w:bCs/>
          <w:color w:val="0A0A0A"/>
          <w:sz w:val="36"/>
          <w:szCs w:val="36"/>
        </w:rPr>
        <w:t xml:space="preserve">3. Deployed Gas-to-Hash Capacity</w:t>
      </w:r>
    </w:p>
    <w:p>
      <w:pPr>
        <w:pBdr>
          <w:bottom w:val="single" w:color="F97316" w:sz="12" w:space="1"/>
        </w:pBdr>
        <w:spacing w:before="160" w:after="160"/>
      </w:pPr>
    </w:p>
    <w:p>
      <w:pPr>
        <w:pStyle w:val="Heading2"/>
        <w:spacing w:before="280" w:after="140"/>
      </w:pPr>
      <w:r>
        <w:rPr>
          <w:rFonts w:ascii="Arial" w:cs="Arial" w:eastAsia="Arial" w:hAnsi="Arial"/>
          <w:b/>
          <w:bCs/>
          <w:color w:val="0A0A0A"/>
          <w:sz w:val="26"/>
          <w:szCs w:val="26"/>
        </w:rPr>
        <w:t xml:space="preserve">3.1  Estimating the Market Size</w:t>
      </w:r>
    </w:p>
    <w:p>
      <w:pPr>
        <w:spacing w:before="80" w:after="140"/>
        <w:jc w:val="both"/>
      </w:pPr>
      <w:r>
        <w:rPr>
          <w:rFonts w:ascii="Arial" w:cs="Arial" w:eastAsia="Arial" w:hAnsi="Arial"/>
          <w:color w:val="1A1A1A"/>
          <w:sz w:val="22"/>
          <w:szCs w:val="22"/>
        </w:rPr>
        <w:t xml:space="preserve">Deployed gas-to-hash capacity is difficult to measure precisely. The sector lacks the centralized reporting infrastructure of public mining companies, and the majority of operating installations are private, embedded within oil and gas operations, and not publicly disclosed. What follows is MCF.digital's best estimate based on publicly available data, known operator capacities, and industry sources.</w:t>
      </w:r>
    </w:p>
    <w:p>
      <w:pPr>
        <w:spacing w:before="80" w:after="140"/>
        <w:jc w:val="both"/>
      </w:pPr>
      <w:r>
        <w:rPr>
          <w:rFonts w:ascii="Arial" w:cs="Arial" w:eastAsia="Arial" w:hAnsi="Arial"/>
          <w:color w:val="1A1A1A"/>
          <w:sz w:val="22"/>
          <w:szCs w:val="22"/>
        </w:rPr>
        <w:t xml:space="preserve">Estimated total deployed gas-to-hash capacity as of Q4 2025:</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20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Estimated Power Capacity</w:t>
            </w:r>
          </w:p>
        </w:tc>
        <w:tc>
          <w:tcPr>
            <w:tcW w:type="dxa" w:w="20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Estimated Hashrate Equivalent</w:t>
            </w:r>
          </w:p>
        </w:tc>
        <w:tc>
          <w:tcPr>
            <w:tcW w:type="dxa" w:w="216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Large public operators (Crusoe, JAI, others)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800–1,100 MW</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70–100 EH/s</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Publicly disclosed or estimated from SEC/press</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Mid-tier private operators (10+ sites)</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300–500 MW</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28–45 EH/s</w:t>
            </w:r>
          </w:p>
        </w:tc>
        <w:tc>
          <w:tcPr>
            <w:tcW w:type="dxa" w:w="2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Estimated from industry sources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Small independent operators (1–9 sites)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200–400 MW</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18–36 EH/s</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Highly fragmented, estimated</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International (non-US) deployments</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150–300 MW</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14–27 EH/s</w:t>
            </w:r>
          </w:p>
        </w:tc>
        <w:tc>
          <w:tcPr>
            <w:tcW w:type="dxa" w:w="2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Russia, Canada, Middle East</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estimated</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1,450–2,300 MW</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130–208 EH/s</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Approximately 5–8% of global hashrate</w:t>
            </w:r>
          </w:p>
        </w:tc>
      </w:tr>
    </w:tbl>
    <w:p>
      <w:pPr>
        <w:spacing w:before="60" w:after="160"/>
        <w:jc w:val="center"/>
      </w:pPr>
      <w:r>
        <w:rPr>
          <w:rFonts w:ascii="Arial" w:cs="Arial" w:eastAsia="Arial" w:hAnsi="Arial"/>
          <w:i/>
          <w:iCs/>
          <w:color w:val="4B5563"/>
          <w:sz w:val="18"/>
          <w:szCs w:val="18"/>
        </w:rPr>
        <w:t xml:space="preserve">Estimates as of Q4 2025. Methodology: bottom-up from known public operators plus interpolated private capacity based on market intelligence. Significant uncertainty in the mid- and small-tier categories.</w:t>
      </w:r>
    </w:p>
    <w:p>
      <w:pPr>
        <w:spacing w:before="0" w:after="80"/>
      </w:pPr>
      <w:r>
        <w:t xml:space="preserve"/>
      </w:r>
    </w:p>
    <w:p>
      <w:pPr>
        <w:spacing w:before="80" w:after="140"/>
        <w:jc w:val="both"/>
      </w:pPr>
      <w:r>
        <w:rPr>
          <w:rFonts w:ascii="Arial" w:cs="Arial" w:eastAsia="Arial" w:hAnsi="Arial"/>
          <w:color w:val="1A1A1A"/>
          <w:sz w:val="22"/>
          <w:szCs w:val="22"/>
        </w:rPr>
        <w:t xml:space="preserve">The 5–8% global hashrate share represents substantial growth from the sub-1% estimates from 2020. However, it also illustrates the degree to which the market is still in early development relative to the available feedstock. If gas-to-hash deployments captured 15% of global hashrate — still a minority position — total deployed capacity would need to triple from current levels.</w:t>
      </w:r>
    </w:p>
    <w:p>
      <w:pPr>
        <w:pStyle w:val="Heading2"/>
        <w:spacing w:before="280" w:after="140"/>
      </w:pPr>
      <w:r>
        <w:rPr>
          <w:rFonts w:ascii="Arial" w:cs="Arial" w:eastAsia="Arial" w:hAnsi="Arial"/>
          <w:b/>
          <w:bCs/>
          <w:color w:val="0A0A0A"/>
          <w:sz w:val="26"/>
          <w:szCs w:val="26"/>
        </w:rPr>
        <w:t xml:space="preserve">3.2  Market Structure and Competitive Dynamics</w:t>
      </w:r>
    </w:p>
    <w:p>
      <w:pPr>
        <w:spacing w:before="80" w:after="140"/>
        <w:jc w:val="both"/>
      </w:pPr>
      <w:r>
        <w:rPr>
          <w:rFonts w:ascii="Arial" w:cs="Arial" w:eastAsia="Arial" w:hAnsi="Arial"/>
          <w:color w:val="1A1A1A"/>
          <w:sz w:val="22"/>
          <w:szCs w:val="22"/>
        </w:rPr>
        <w:t xml:space="preserve">The gas-to-hash sector currently has a bifurcated structure: a small number of large, well-capitalized operators with national or multi-basin footprints, and a large number of small operators with one to five sites. The middle of the market — operators with 10–50 sites and the infrastructure to scale efficiently — is underdeveloped. This gap creates significant opportunity for operators with repeatable deployment processes and established operator relationships.</w:t>
      </w:r>
    </w:p>
    <w:p>
      <w:pPr>
        <w:spacing w:before="80" w:after="140"/>
        <w:jc w:val="both"/>
      </w:pPr>
      <w:r>
        <w:rPr>
          <w:rFonts w:ascii="Arial" w:cs="Arial" w:eastAsia="Arial" w:hAnsi="Arial"/>
          <w:color w:val="1A1A1A"/>
          <w:sz w:val="22"/>
          <w:szCs w:val="22"/>
        </w:rPr>
        <w:t xml:space="preserve">The large operators (Crusoe Energy, JAI Energy, and a handful of others) have demonstrated the model works at scale. Their public profiles and fundraising activity have also validated the sector for institutional capital. The challenge is that their operational focus has been on large sites with high gas volumes — which represent a small fraction of the total available flaring inventory. The majority of US flaring sites produce 100–500 Mcf/day: volumes too small to attract large operators but entirely viable for a mid-market integrator.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24"/>
              <w:bottom w:val="single" w:color="059669" w:sz="8"/>
              <w:right w:val="single" w:color="059669" w:sz="8"/>
            </w:tcBorders>
            <w:shd w:fill="D1FAE5" w:val="clear"/>
            <w:tcMar>
              <w:top w:type="dxa" w:w="160"/>
              <w:left w:type="dxa" w:w="200"/>
              <w:bottom w:type="dxa" w:w="160"/>
              <w:right w:type="dxa" w:w="200"/>
            </w:tcMar>
          </w:tcPr>
          <w:p>
            <w:pPr>
              <w:spacing w:before="0" w:after="80"/>
            </w:pPr>
            <w:r>
              <w:rPr>
                <w:rFonts w:ascii="Arial" w:cs="Arial" w:eastAsia="Arial" w:hAnsi="Arial"/>
                <w:b/>
                <w:bCs/>
                <w:color w:val="059669"/>
                <w:sz w:val="20"/>
                <w:szCs w:val="20"/>
              </w:rPr>
              <w:t xml:space="preserve">Market structure observation</w:t>
            </w:r>
          </w:p>
          <w:p>
            <w:pPr>
              <w:spacing w:before="40" w:after="40"/>
            </w:pPr>
            <w:r>
              <w:rPr>
                <w:rFonts w:ascii="Arial" w:cs="Arial" w:eastAsia="Arial" w:hAnsi="Arial"/>
                <w:color w:val="1A1A1A"/>
                <w:sz w:val="20"/>
                <w:szCs w:val="20"/>
              </w:rPr>
              <w:t xml:space="preserve">The most underserved segment of the US gas-to-hash market is sites producing 100–500 Mcf/day of stranded or flared gas. Large operators target sites above 1 MMcf/day. Small operators lack the process infrastructure for efficient deployment at scale. This is where MCF.digital operates.</w:t>
            </w:r>
          </w:p>
        </w:tc>
      </w:tr>
    </w:tbl>
    <w:p>
      <w:pPr>
        <w:spacing w:before="0" w:after="80"/>
      </w:pPr>
      <w:r>
        <w:t xml:space="preserve"/>
      </w:r>
    </w:p>
    <w:p>
      <w:pPr>
        <w:pStyle w:val="Heading2"/>
        <w:spacing w:before="280" w:after="140"/>
      </w:pPr>
      <w:r>
        <w:rPr>
          <w:rFonts w:ascii="Arial" w:cs="Arial" w:eastAsia="Arial" w:hAnsi="Arial"/>
          <w:b/>
          <w:bCs/>
          <w:color w:val="0A0A0A"/>
          <w:sz w:val="26"/>
          <w:szCs w:val="26"/>
        </w:rPr>
        <w:t xml:space="preserve">3.3  Hardware: The ASIC Efficiency Curve</w:t>
      </w:r>
    </w:p>
    <w:p>
      <w:pPr>
        <w:spacing w:before="80" w:after="140"/>
        <w:jc w:val="both"/>
      </w:pPr>
      <w:r>
        <w:rPr>
          <w:rFonts w:ascii="Arial" w:cs="Arial" w:eastAsia="Arial" w:hAnsi="Arial"/>
          <w:color w:val="1A1A1A"/>
          <w:sz w:val="22"/>
          <w:szCs w:val="22"/>
        </w:rPr>
        <w:t xml:space="preserve">Hardware efficiency has improved significantly over the past three years. Current-generation ASICs (Antminer S21, Whatsminer M60 series) operate at 17–21 J/TH, compared to 30–38 J/TH for the previous generation hardware (S19 series) that dominates many legacy field deployments. Next-generation hardware in production for 2025–2026 delivery targets 15–18 J/TH.</w:t>
      </w:r>
    </w:p>
    <w:p>
      <w:pPr>
        <w:spacing w:before="80" w:after="140"/>
        <w:jc w:val="both"/>
      </w:pPr>
      <w:r>
        <w:rPr>
          <w:rFonts w:ascii="Arial" w:cs="Arial" w:eastAsia="Arial" w:hAnsi="Arial"/>
          <w:color w:val="1A1A1A"/>
          <w:sz w:val="22"/>
          <w:szCs w:val="22"/>
        </w:rPr>
        <w:t xml:space="preserve">For gas-to-hash deployments, hardware efficiency has a different calculus than for grid-connected operations. When gas is priced near zero (zero-netback flaring sites), power cost is effectively zero for the first unit of gas monetized — meaning hardware efficiency matters less for break-even analysis and more for revenue maximization. The question is not 'can this site turn a profit?' but 'how much hashrate can we extract per Mcf of gas?'</w:t>
      </w:r>
    </w:p>
    <w:p>
      <w:pPr>
        <w:spacing w:before="80" w:after="140"/>
        <w:jc w:val="both"/>
      </w:pPr>
      <w:r>
        <w:rPr>
          <w:rFonts w:ascii="Arial" w:cs="Arial" w:eastAsia="Arial" w:hAnsi="Arial"/>
          <w:color w:val="1A1A1A"/>
          <w:sz w:val="22"/>
          <w:szCs w:val="22"/>
        </w:rPr>
        <w:t xml:space="preserve">The practical implication: sites with zero or near-zero netback gas should prioritize deploying the highest-efficiency hardware available, even if the premium is higher. Sites with higher-cost gas (low-netback rather than zero-netback) require more careful hardware selection to protect margins.</w:t>
      </w:r>
    </w:p>
    <w:p>
      <w:pPr>
        <w:spacing w:before="0" w:after="120"/>
      </w:pPr>
      <w:r>
        <w:t xml:space="preserve"/>
      </w:r>
    </w:p>
    <w:p>
      <w:r>
        <w:br w:type="page"/>
      </w:r>
    </w:p>
    <w:p>
      <w:pPr>
        <w:pStyle w:val="Heading1"/>
        <w:spacing w:before="360" w:after="200"/>
      </w:pPr>
      <w:r>
        <w:rPr>
          <w:rFonts w:ascii="Arial" w:cs="Arial" w:eastAsia="Arial" w:hAnsi="Arial"/>
          <w:b/>
          <w:bCs/>
          <w:color w:val="0A0A0A"/>
          <w:sz w:val="36"/>
          <w:szCs w:val="36"/>
        </w:rPr>
        <w:t xml:space="preserve">4. Deployment Economics at 2026 Prices</w:t>
      </w:r>
    </w:p>
    <w:p>
      <w:pPr>
        <w:pBdr>
          <w:bottom w:val="single" w:color="F97316" w:sz="12" w:space="1"/>
        </w:pBdr>
        <w:spacing w:before="160" w:after="160"/>
      </w:pPr>
    </w:p>
    <w:p>
      <w:pPr>
        <w:pStyle w:val="Heading2"/>
        <w:spacing w:before="280" w:after="140"/>
      </w:pPr>
      <w:r>
        <w:rPr>
          <w:rFonts w:ascii="Arial" w:cs="Arial" w:eastAsia="Arial" w:hAnsi="Arial"/>
          <w:b/>
          <w:bCs/>
          <w:color w:val="0A0A0A"/>
          <w:sz w:val="26"/>
          <w:szCs w:val="26"/>
        </w:rPr>
        <w:t xml:space="preserve">4.1  The Standard Deployment Model</w:t>
      </w:r>
    </w:p>
    <w:p>
      <w:pPr>
        <w:spacing w:before="80" w:after="140"/>
        <w:jc w:val="both"/>
      </w:pPr>
      <w:r>
        <w:rPr>
          <w:rFonts w:ascii="Arial" w:cs="Arial" w:eastAsia="Arial" w:hAnsi="Arial"/>
          <w:color w:val="1A1A1A"/>
          <w:sz w:val="22"/>
          <w:szCs w:val="22"/>
        </w:rPr>
        <w:t xml:space="preserve">A standard single-genset gas-to-hash deployment at a Permian or Bakken flare site in early 2026 looks approximately as follows:</w:t>
      </w:r>
    </w:p>
    <w:p>
      <w:pPr>
        <w:spacing w:before="0" w:after="80"/>
      </w:pPr>
      <w:r>
        <w:t xml:space="preserve"/>
      </w:r>
    </w:p>
    <w:p>
      <w:pPr>
        <w:spacing w:before="0" w:after="60"/>
      </w:pPr>
      <w:r>
        <w:rPr>
          <w:rFonts w:ascii="Arial" w:cs="Arial" w:eastAsia="Arial" w:hAnsi="Arial"/>
          <w:b/>
          <w:bCs/>
          <w:color w:val="F97316"/>
          <w:spacing w:val="80"/>
          <w:sz w:val="16"/>
          <w:szCs w:val="16"/>
        </w:rPr>
        <w:t xml:space="preserve">REPRESENTATIVE DEPLOYMENT — 500 KW SINGLE GENSET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26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356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Gas volume consumed</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~210 Mcf/day</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At ~11,000 BTU/kWh, 500 kW continuous</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Gross power output</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500 kW</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Nameplate capacity</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Field-derated output</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380–420 kW</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After altitude, temperature, gas quality derate</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ASIC efficiency</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21 J/TH</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Current-generation hardware</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Deployed hashrate</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~18–20 PH/s</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At 380–420 kW usable</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Daily revenue (@ $52/PH/day)</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$936–$1,040/day</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Before operating costs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gross revenue</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$28,000–$31,200/mo</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 opex</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Monthly opex (monitoring, service, connectivity)</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$3,500–$5,000/mo</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Estimate</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net revenue (hosting structure)</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$23,000–$27,700/mo</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 gas cost</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Gas cost (@ $0.75/MMBtu)</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$4,700/mo</w:t>
            </w:r>
          </w:p>
        </w:tc>
        <w:tc>
          <w:tcPr>
            <w:tcW w:type="dxa" w:w="3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210 Mcf/day × $0.75 × 30 days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Net monthly revenue after gas cost</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$18,300–$23,000/mo</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Approximate range</w:t>
            </w:r>
          </w:p>
        </w:tc>
      </w:tr>
    </w:tbl>
    <w:p>
      <w:pPr>
        <w:spacing w:before="60" w:after="160"/>
        <w:jc w:val="center"/>
      </w:pPr>
      <w:r>
        <w:rPr>
          <w:rFonts w:ascii="Arial" w:cs="Arial" w:eastAsia="Arial" w:hAnsi="Arial"/>
          <w:i/>
          <w:iCs/>
          <w:color w:val="4B5563"/>
          <w:sz w:val="18"/>
          <w:szCs w:val="18"/>
        </w:rPr>
        <w:t xml:space="preserve">Illustrative model. Actual performance varies by site conditions, hardware selection, and deal structure. Does not include CapEx recovery.</w:t>
      </w:r>
    </w:p>
    <w:p>
      <w:pPr>
        <w:spacing w:before="0" w:after="80"/>
      </w:pPr>
      <w:r>
        <w:t xml:space="preserve"/>
      </w:r>
    </w:p>
    <w:p>
      <w:pPr>
        <w:spacing w:before="80" w:after="140"/>
        <w:jc w:val="both"/>
      </w:pPr>
      <w:r>
        <w:rPr>
          <w:rFonts w:ascii="Arial" w:cs="Arial" w:eastAsia="Arial" w:hAnsi="Arial"/>
          <w:color w:val="1A1A1A"/>
          <w:sz w:val="22"/>
          <w:szCs w:val="22"/>
        </w:rPr>
        <w:t xml:space="preserve">CapEx for a new single-genset deployment including generator, power conditioning, ASIC container, connectivity, and commissioning is typically in the range of $800,000–$1,400,000 depending on site conditions, hardware selection, and genset sizing. At the net revenue figures above, CapEx recovery occurs in 36–72 months — a range that is sensitive to BTC price but remains positive across all realistic scenarios.</w:t>
      </w:r>
    </w:p>
    <w:p>
      <w:pPr>
        <w:pStyle w:val="Heading2"/>
        <w:spacing w:before="280" w:after="140"/>
      </w:pPr>
      <w:r>
        <w:rPr>
          <w:rFonts w:ascii="Arial" w:cs="Arial" w:eastAsia="Arial" w:hAnsi="Arial"/>
          <w:b/>
          <w:bCs/>
          <w:color w:val="0A0A0A"/>
          <w:sz w:val="26"/>
          <w:szCs w:val="26"/>
        </w:rPr>
        <w:t xml:space="preserve">4.2  The Four Deal Structures — Economics at Current Prices</w:t>
      </w:r>
    </w:p>
    <w:p>
      <w:pPr>
        <w:spacing w:before="80" w:after="140"/>
        <w:jc w:val="both"/>
      </w:pPr>
      <w:r>
        <w:rPr>
          <w:rFonts w:ascii="Arial" w:cs="Arial" w:eastAsia="Arial" w:hAnsi="Arial"/>
          <w:color w:val="1A1A1A"/>
          <w:sz w:val="22"/>
          <w:szCs w:val="22"/>
        </w:rPr>
        <w:t xml:space="preserve">Gas-to-hash deployments are structured across four primary commercial arrangements. Each allocates BTC exposure, CapEx responsibility, and operating risk differently. At current hashprice and gas prices, all four structures can pencil for the right counterparty profile.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1400"/>
        <w:gridCol w:w="2160"/>
      </w:tblGrid>
      <w:tr>
        <w:tc>
          <w:tcPr>
            <w:tcW w:type="dxa" w:w="22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Structure</w:t>
            </w:r>
          </w:p>
        </w:tc>
        <w:tc>
          <w:tcPr>
            <w:tcW w:type="dxa" w:w="25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Operator Receives</w:t>
            </w:r>
          </w:p>
        </w:tc>
        <w:tc>
          <w:tcPr>
            <w:tcW w:type="dxa" w:w="25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Miner Receives</w:t>
            </w:r>
          </w:p>
        </w:tc>
        <w:tc>
          <w:tcPr>
            <w:tcW w:type="dxa" w:w="14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CapEx Bearer</w:t>
            </w:r>
          </w:p>
        </w:tc>
        <w:tc>
          <w:tcPr>
            <w:tcW w:type="dxa" w:w="216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BTC Price Risk</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Pure Hosting</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power rate (~$0.035–0.045/kWh)</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mining revenue above power rate</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Miner</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Miner bears all</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Revenue Share</w:t>
            </w:r>
          </w:p>
        </w:tc>
        <w:tc>
          <w:tcPr>
            <w:tcW w:type="dxa" w:w="2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 of BTC mined (typically 20–35%)</w:t>
            </w:r>
          </w:p>
        </w:tc>
        <w:tc>
          <w:tcPr>
            <w:tcW w:type="dxa" w:w="2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Remaining % of BTC mined</w:t>
            </w:r>
          </w:p>
        </w:tc>
        <w:tc>
          <w:tcPr>
            <w:tcW w:type="dxa" w:w="1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Miner or split</w:t>
            </w:r>
          </w:p>
        </w:tc>
        <w:tc>
          <w:tcPr>
            <w:tcW w:type="dxa" w:w="2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Shared proportionally</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Operator Mines</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of mining revenue</w:t>
            </w:r>
          </w:p>
        </w:tc>
        <w:tc>
          <w:tcPr>
            <w:tcW w:type="dxa" w:w="2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Service/management fee</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Operator</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Operator bears all</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Capital Partner</w:t>
            </w:r>
          </w:p>
        </w:tc>
        <w:tc>
          <w:tcPr>
            <w:tcW w:type="dxa" w:w="2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Fixed rate on capital deployed</w:t>
            </w:r>
          </w:p>
        </w:tc>
        <w:tc>
          <w:tcPr>
            <w:tcW w:type="dxa" w:w="2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Residual after capital return</w:t>
            </w:r>
          </w:p>
        </w:tc>
        <w:tc>
          <w:tcPr>
            <w:tcW w:type="dxa" w:w="1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Capital partner</w:t>
            </w:r>
          </w:p>
        </w:tc>
        <w:tc>
          <w:tcPr>
            <w:tcW w:type="dxa" w:w="2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Capital partner bears most</w:t>
            </w:r>
          </w:p>
        </w:tc>
      </w:tr>
    </w:tbl>
    <w:p>
      <w:pPr>
        <w:spacing w:before="60" w:after="160"/>
        <w:jc w:val="center"/>
      </w:pPr>
      <w:r>
        <w:rPr>
          <w:rFonts w:ascii="Arial" w:cs="Arial" w:eastAsia="Arial" w:hAnsi="Arial"/>
          <w:i/>
          <w:iCs/>
          <w:color w:val="4B5563"/>
          <w:sz w:val="18"/>
          <w:szCs w:val="18"/>
        </w:rPr>
        <w:t xml:space="preserve">Deal structure summary. Structure selection depends on operator's BTC exposure preference, CapEx availability, and risk tolerance.</w:t>
      </w:r>
    </w:p>
    <w:p>
      <w:pPr>
        <w:spacing w:before="0" w:after="80"/>
      </w:pPr>
      <w:r>
        <w:t xml:space="preserve"/>
      </w:r>
    </w:p>
    <w:p>
      <w:pPr>
        <w:spacing w:before="80" w:after="140"/>
        <w:jc w:val="both"/>
      </w:pPr>
      <w:r>
        <w:rPr>
          <w:rFonts w:ascii="Arial" w:cs="Arial" w:eastAsia="Arial" w:hAnsi="Arial"/>
          <w:color w:val="1A1A1A"/>
          <w:sz w:val="22"/>
          <w:szCs w:val="22"/>
        </w:rPr>
        <w:t xml:space="preserve">For flare gas operators whose primary motivation is compliance relief — eliminating a flaring obligation — the pure hosting structure is typically the clearest fit. The operator's economics are denominated in USD (or fixed-rate gas value), Bitcoin volatility is the miner's problem, and the operator can frame the arrangement as a gas sale rather than a cryptocurrency investment.</w:t>
      </w:r>
    </w:p>
    <w:p>
      <w:pPr>
        <w:spacing w:before="80" w:after="140"/>
        <w:jc w:val="both"/>
      </w:pPr>
      <w:r>
        <w:rPr>
          <w:rFonts w:ascii="Arial" w:cs="Arial" w:eastAsia="Arial" w:hAnsi="Arial"/>
          <w:color w:val="1A1A1A"/>
          <w:sz w:val="22"/>
          <w:szCs w:val="22"/>
        </w:rPr>
        <w:t xml:space="preserve">For low-netback operators motivated by improving gas economics, a revenue share structure that establishes a netback floor (guaranteed minimum payment regardless of BTC price) provides downside protection while preserving upside participation.</w:t>
      </w:r>
    </w:p>
    <w:p>
      <w:pPr>
        <w:pStyle w:val="Heading2"/>
        <w:spacing w:before="280" w:after="140"/>
      </w:pPr>
      <w:r>
        <w:rPr>
          <w:rFonts w:ascii="Arial" w:cs="Arial" w:eastAsia="Arial" w:hAnsi="Arial"/>
          <w:b/>
          <w:bCs/>
          <w:color w:val="0A0A0A"/>
          <w:sz w:val="26"/>
          <w:szCs w:val="26"/>
        </w:rPr>
        <w:t xml:space="preserve">4.3  Sensitivity Analysis — BTC Price Scenarios</w:t>
      </w:r>
    </w:p>
    <w:p>
      <w:pPr>
        <w:spacing w:before="80" w:after="140"/>
        <w:jc w:val="both"/>
      </w:pPr>
      <w:r>
        <w:rPr>
          <w:rFonts w:ascii="Arial" w:cs="Arial" w:eastAsia="Arial" w:hAnsi="Arial"/>
          <w:color w:val="1A1A1A"/>
          <w:sz w:val="22"/>
          <w:szCs w:val="22"/>
        </w:rPr>
        <w:t xml:space="preserve">The most common operator objection to gas-to-hash is Bitcoin price volatility. The relevant question is not 'what happens if Bitcoin goes up?' but 'what are my economics if Bitcoin drops significantly?' The following table models the pure hosting structure across BTC price scenarios, since hosting operators are least exposed to BTC volatility in this structure.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00"/>
        <w:gridCol w:w="2400"/>
        <w:gridCol w:w="1860"/>
      </w:tblGrid>
      <w:tr>
        <w:tc>
          <w:tcPr>
            <w:tcW w:type="dxa" w:w="22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BTC Price Scenario</w:t>
            </w:r>
          </w:p>
        </w:tc>
        <w:tc>
          <w:tcPr>
            <w:tcW w:type="dxa" w:w="18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Hashprice (est.)</w:t>
            </w:r>
          </w:p>
        </w:tc>
        <w:tc>
          <w:tcPr>
            <w:tcW w:type="dxa" w:w="21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Miner Daily Revenue / PH/s</w:t>
            </w:r>
          </w:p>
        </w:tc>
        <w:tc>
          <w:tcPr>
            <w:tcW w:type="dxa" w:w="240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Hosting Operator Economics</w:t>
            </w:r>
          </w:p>
        </w:tc>
        <w:tc>
          <w:tcPr>
            <w:tcW w:type="dxa" w:w="1860"/>
            <w:tcBorders>
              <w:top w:val="single" w:color="E5E7EB" w:sz="4"/>
              <w:left w:val="single" w:color="E5E7EB" w:sz="4"/>
              <w:bottom w:val="single" w:color="0A0A0A" w:sz="8"/>
              <w:right w:val="single" w:color="E5E7EB" w:sz="4"/>
            </w:tcBorders>
            <w:shd w:fill="0A0A0A" w:val="clear"/>
            <w:tcMar>
              <w:top w:type="dxa" w:w="100"/>
              <w:left w:type="dxa" w:w="120"/>
              <w:bottom w:type="dxa" w:w="100"/>
              <w:right w:type="dxa" w:w="120"/>
            </w:tcMar>
          </w:tcPr>
          <w:p>
            <w:r>
              <w:rPr>
                <w:rFonts w:ascii="Arial" w:cs="Arial" w:eastAsia="Arial" w:hAnsi="Arial"/>
                <w:b/>
                <w:bCs/>
                <w:color w:val="FFFFFF"/>
                <w:sz w:val="20"/>
                <w:szCs w:val="20"/>
              </w:rPr>
              <w:t xml:space="preserve">Deployment Status</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$120,000 (+82%)</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~$95/PH/day</w:t>
            </w:r>
          </w:p>
        </w:tc>
        <w:tc>
          <w:tcPr>
            <w:tcW w:type="dxa" w:w="21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$95/PH/day gross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power rate — fully insulated</w:t>
            </w:r>
          </w:p>
        </w:tc>
        <w:tc>
          <w:tcPr>
            <w:tcW w:type="dxa" w:w="18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Highly profitable for miner</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$66,000 (current)</w:t>
            </w:r>
          </w:p>
        </w:tc>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~$52/PH/day</w:t>
            </w:r>
          </w:p>
        </w:tc>
        <w:tc>
          <w:tcPr>
            <w:tcW w:type="dxa" w:w="21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$52/PH/day gross</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Fixed power rate — fully insulated</w:t>
            </w:r>
          </w:p>
        </w:tc>
        <w:tc>
          <w:tcPr>
            <w:tcW w:type="dxa" w:w="18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Profitable for miner</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$45,000 (-32%)</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~$35/PH/day</w:t>
            </w:r>
          </w:p>
        </w:tc>
        <w:tc>
          <w:tcPr>
            <w:tcW w:type="dxa" w:w="21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$35/PH/day gross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power rate — fully insulated</w:t>
            </w:r>
          </w:p>
        </w:tc>
        <w:tc>
          <w:tcPr>
            <w:tcW w:type="dxa" w:w="18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Marginal for miner</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$30,000 (-55%)</w:t>
            </w:r>
          </w:p>
        </w:tc>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~$24/PH/day</w:t>
            </w:r>
          </w:p>
        </w:tc>
        <w:tc>
          <w:tcPr>
            <w:tcW w:type="dxa" w:w="21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$24/PH/day gross</w:t>
            </w:r>
          </w:p>
        </w:tc>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Fixed power rate — at risk</w:t>
            </w:r>
          </w:p>
        </w:tc>
        <w:tc>
          <w:tcPr>
            <w:tcW w:type="dxa" w:w="18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1A1A1A"/>
                <w:sz w:val="20"/>
                <w:szCs w:val="20"/>
              </w:rPr>
              <w:t xml:space="preserve">Miner may curtail or exit</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$18,000 (-73%)</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~$14/PH/day</w:t>
            </w:r>
          </w:p>
        </w:tc>
        <w:tc>
          <w:tcPr>
            <w:tcW w:type="dxa" w:w="21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$14/PH/day gross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Power rate unsustainable for miner</w:t>
            </w:r>
          </w:p>
        </w:tc>
        <w:tc>
          <w:tcPr>
            <w:tcW w:type="dxa" w:w="18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Deployment likely suspended</w:t>
            </w:r>
          </w:p>
        </w:tc>
      </w:tr>
    </w:tbl>
    <w:p>
      <w:pPr>
        <w:spacing w:before="60" w:after="160"/>
        <w:jc w:val="center"/>
      </w:pPr>
      <w:r>
        <w:rPr>
          <w:rFonts w:ascii="Arial" w:cs="Arial" w:eastAsia="Arial" w:hAnsi="Arial"/>
          <w:i/>
          <w:iCs/>
          <w:color w:val="4B5563"/>
          <w:sz w:val="18"/>
          <w:szCs w:val="18"/>
        </w:rPr>
        <w:t xml:space="preserve">Hosting structure only. BTC price scenarios with corresponding hashprice estimates assuming network hashrate adjusts proportionally. In practice, difficulty adjusts downward in low-price environments, partially supporting hashprice.</w:t>
      </w:r>
    </w:p>
    <w:p>
      <w:pPr>
        <w:spacing w:before="0" w:after="80"/>
      </w:pPr>
      <w:r>
        <w:t xml:space="preserve"/>
      </w:r>
    </w:p>
    <w:p>
      <w:pPr>
        <w:spacing w:before="80" w:after="140"/>
        <w:jc w:val="both"/>
      </w:pPr>
      <w:r>
        <w:rPr>
          <w:rFonts w:ascii="Arial" w:cs="Arial" w:eastAsia="Arial" w:hAnsi="Arial"/>
          <w:color w:val="1A1A1A"/>
          <w:sz w:val="22"/>
          <w:szCs w:val="22"/>
        </w:rPr>
        <w:t xml:space="preserve">The practical implication: operators in a hosting structure are insulated from Bitcoin price movements until BTC drops below approximately $25,000–$30,000 — a level not seen since 2020. Even at that level, the operator's exposure is the potential suspension of mining activity, not financial loss, provided the hosting agreement includes appropriate curtailment and resumption provisions.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24"/>
              <w:bottom w:val="single" w:color="D97706" w:sz="8"/>
              <w:right w:val="single" w:color="D97706" w:sz="8"/>
            </w:tcBorders>
            <w:shd w:fill="FEF3C7" w:val="clear"/>
            <w:tcMar>
              <w:top w:type="dxa" w:w="160"/>
              <w:left w:type="dxa" w:w="200"/>
              <w:bottom w:type="dxa" w:w="160"/>
              <w:right w:type="dxa" w:w="200"/>
            </w:tcMar>
          </w:tcPr>
          <w:p>
            <w:pPr>
              <w:spacing w:before="0" w:after="80"/>
            </w:pPr>
            <w:r>
              <w:rPr>
                <w:rFonts w:ascii="Arial" w:cs="Arial" w:eastAsia="Arial" w:hAnsi="Arial"/>
                <w:b/>
                <w:bCs/>
                <w:color w:val="D97706"/>
                <w:sz w:val="20"/>
                <w:szCs w:val="20"/>
              </w:rPr>
              <w:t xml:space="preserve">For operators using a revenue share structure:</w:t>
            </w:r>
          </w:p>
          <w:p>
            <w:pPr>
              <w:spacing w:before="40" w:after="40"/>
            </w:pPr>
            <w:r>
              <w:rPr>
                <w:rFonts w:ascii="Arial" w:cs="Arial" w:eastAsia="Arial" w:hAnsi="Arial"/>
                <w:color w:val="1A1A1A"/>
                <w:sz w:val="20"/>
                <w:szCs w:val="20"/>
              </w:rPr>
              <w:t xml:space="preserve">Establish a minimum gas value floor in the contract — typically expressed as a minimum $/MMBtu payment regardless of BTC price. This floor should approximate the operator's pipeline netback at worst-case terms. Above the floor, the operator participates in BTC upside. Below the floor, the deployment suspends. This structure protects the operator's gas economics while preserving the upside case.</w:t>
            </w:r>
          </w:p>
        </w:tc>
      </w:tr>
    </w:tbl>
    <w:p>
      <w:pPr>
        <w:spacing w:before="0" w:after="120"/>
      </w:pPr>
      <w:r>
        <w:t xml:space="preserve"/>
      </w:r>
    </w:p>
    <w:p>
      <w:r>
        <w:br w:type="page"/>
      </w:r>
    </w:p>
    <w:p>
      <w:pPr>
        <w:pStyle w:val="Heading1"/>
        <w:spacing w:before="360" w:after="200"/>
      </w:pPr>
      <w:r>
        <w:rPr>
          <w:rFonts w:ascii="Arial" w:cs="Arial" w:eastAsia="Arial" w:hAnsi="Arial"/>
          <w:b/>
          <w:bCs/>
          <w:color w:val="0A0A0A"/>
          <w:sz w:val="36"/>
          <w:szCs w:val="36"/>
        </w:rPr>
        <w:t xml:space="preserve">5. Basin-by-Basin Opportunity Map</w:t>
      </w:r>
    </w:p>
    <w:p>
      <w:pPr>
        <w:pBdr>
          <w:bottom w:val="single" w:color="F97316" w:sz="12" w:space="1"/>
        </w:pBdr>
        <w:spacing w:before="160" w:after="160"/>
      </w:pPr>
    </w:p>
    <w:p>
      <w:pPr>
        <w:spacing w:before="80" w:after="140"/>
        <w:jc w:val="both"/>
      </w:pPr>
      <w:r>
        <w:rPr>
          <w:rFonts w:ascii="Arial" w:cs="Arial" w:eastAsia="Arial" w:hAnsi="Arial"/>
          <w:color w:val="1A1A1A"/>
          <w:sz w:val="22"/>
          <w:szCs w:val="22"/>
        </w:rPr>
        <w:t xml:space="preserve">Economics and deployment conditions vary significantly across the four primary US flaring basins. The following analysis evaluates each basin on five dimensions: regulatory pressure, gas availability, gas quality, infrastructure maturity, and competitive intensity.</w:t>
      </w:r>
    </w:p>
    <w:p>
      <w:pPr>
        <w:spacing w:before="0" w:after="80"/>
      </w:pPr>
      <w:r>
        <w:t xml:space="preserve"/>
      </w:r>
    </w:p>
    <w:p>
      <w:pPr>
        <w:spacing w:before="200" w:after="100"/>
      </w:pPr>
      <w:r>
        <w:rPr>
          <w:rFonts w:ascii="Arial" w:cs="Arial" w:eastAsia="Arial" w:hAnsi="Arial"/>
          <w:b/>
          <w:bCs/>
          <w:color w:val="F97316"/>
          <w:sz w:val="22"/>
          <w:szCs w:val="22"/>
        </w:rPr>
        <w:t xml:space="preserve">Permian Basin (Delaware + Midland Sub-Basins)</w:t>
      </w:r>
    </w:p>
    <w:p>
      <w:pPr>
        <w:spacing w:before="0" w:after="60"/>
      </w:pPr>
      <w:r>
        <w:rPr>
          <w:rFonts w:ascii="Arial" w:cs="Arial" w:eastAsia="Arial" w:hAnsi="Arial"/>
          <w:b/>
          <w:bCs/>
          <w:color w:val="F97316"/>
          <w:spacing w:val="80"/>
          <w:sz w:val="16"/>
          <w:szCs w:val="16"/>
        </w:rPr>
        <w:t xml:space="preserve">OPPORTUNITY RATING: HIGHEST PRIORITY</w:t>
      </w:r>
    </w:p>
    <w:p>
      <w:pPr>
        <w:spacing w:before="0" w:after="60"/>
      </w:pPr>
      <w:r>
        <w:t xml:space="preserve"/>
      </w:r>
    </w:p>
    <w:p>
      <w:pPr>
        <w:spacing w:before="80" w:after="140"/>
        <w:jc w:val="both"/>
      </w:pPr>
      <w:r>
        <w:rPr>
          <w:rFonts w:ascii="Arial" w:cs="Arial" w:eastAsia="Arial" w:hAnsi="Arial"/>
          <w:color w:val="1A1A1A"/>
          <w:sz w:val="22"/>
          <w:szCs w:val="22"/>
        </w:rPr>
        <w:t xml:space="preserve">The Permian remains the single largest gas-to-hash opportunity in North America. The combination of high flaring volumes (5+ bcm/year), continued new well completions, persistent infrastructure lag, and intensifying TCEQ and EPA regulatory pressure creates a continuous pipeline of deployment-ready sites. Gas quality in the Permian is generally favorable for standard genset configurations, with methane numbers in the 65–80 range. The primary constraint is the density of existing operators in the region — the Permian has the highest concentration of gas-to-hash activity of any US basin, which means operator relationships and deal terms are more competitive than in less-developed basins.</w:t>
      </w:r>
    </w:p>
    <w:p>
      <w:pPr>
        <w:pStyle w:val="ListParagraph"/>
        <w:numPr>
          <w:ilvl w:val="0"/>
          <w:numId w:val="2"/>
        </w:numPr>
        <w:spacing w:before="60" w:after="60"/>
      </w:pPr>
      <w:r>
        <w:rPr>
          <w:rFonts w:ascii="Arial" w:cs="Arial" w:eastAsia="Arial" w:hAnsi="Arial"/>
          <w:color w:val="1A1A1A"/>
          <w:sz w:val="22"/>
          <w:szCs w:val="22"/>
        </w:rPr>
        <w:t xml:space="preserve">Flaring volume: ~5.2 bcm/year, concentrated in Loving, Reeves, and Ward counties (Delaware) and Midland, Martin, and Howard counties (Midland)</w:t>
      </w:r>
    </w:p>
    <w:p>
      <w:pPr>
        <w:pStyle w:val="ListParagraph"/>
        <w:numPr>
          <w:ilvl w:val="0"/>
          <w:numId w:val="2"/>
        </w:numPr>
        <w:spacing w:before="60" w:after="60"/>
      </w:pPr>
      <w:r>
        <w:rPr>
          <w:rFonts w:ascii="Arial" w:cs="Arial" w:eastAsia="Arial" w:hAnsi="Arial"/>
          <w:color w:val="1A1A1A"/>
          <w:sz w:val="22"/>
          <w:szCs w:val="22"/>
        </w:rPr>
        <w:t xml:space="preserve">Regulatory trend: TCEQ permit renewals increasingly scrutinized; EPA 40 CFR Part 60 enforcement elevated; World Bank Zero Routine Flaring by 2030 signatory pressure on majors</w:t>
      </w:r>
    </w:p>
    <w:p>
      <w:pPr>
        <w:pStyle w:val="ListParagraph"/>
        <w:numPr>
          <w:ilvl w:val="0"/>
          <w:numId w:val="2"/>
        </w:numPr>
        <w:spacing w:before="60" w:after="60"/>
      </w:pPr>
      <w:r>
        <w:rPr>
          <w:rFonts w:ascii="Arial" w:cs="Arial" w:eastAsia="Arial" w:hAnsi="Arial"/>
          <w:color w:val="1A1A1A"/>
          <w:sz w:val="22"/>
          <w:szCs w:val="22"/>
        </w:rPr>
        <w:t xml:space="preserve">Gas quality: Generally favorable (MN 65–80); limited H2S in most producing zones</w:t>
      </w:r>
    </w:p>
    <w:p>
      <w:pPr>
        <w:pStyle w:val="ListParagraph"/>
        <w:numPr>
          <w:ilvl w:val="0"/>
          <w:numId w:val="2"/>
        </w:numPr>
        <w:spacing w:before="60" w:after="60"/>
      </w:pPr>
      <w:r>
        <w:rPr>
          <w:rFonts w:ascii="Arial" w:cs="Arial" w:eastAsia="Arial" w:hAnsi="Arial"/>
          <w:color w:val="1A1A1A"/>
          <w:sz w:val="22"/>
          <w:szCs w:val="22"/>
        </w:rPr>
        <w:t xml:space="preserve">Competitive intensity: High — largest public operators are active; first-mover relationships important</w:t>
      </w:r>
    </w:p>
    <w:p>
      <w:pPr>
        <w:spacing w:before="0" w:after="80"/>
      </w:pPr>
      <w:r>
        <w:t xml:space="preserve"/>
      </w:r>
    </w:p>
    <w:p>
      <w:pPr>
        <w:spacing w:before="200" w:after="100"/>
      </w:pPr>
      <w:r>
        <w:rPr>
          <w:rFonts w:ascii="Arial" w:cs="Arial" w:eastAsia="Arial" w:hAnsi="Arial"/>
          <w:b/>
          <w:bCs/>
          <w:color w:val="F97316"/>
          <w:sz w:val="22"/>
          <w:szCs w:val="22"/>
        </w:rPr>
        <w:t xml:space="preserve">Bakken Shale (Williston Basin, North Dakota)</w:t>
      </w:r>
    </w:p>
    <w:p>
      <w:pPr>
        <w:spacing w:before="0" w:after="60"/>
      </w:pPr>
      <w:r>
        <w:rPr>
          <w:rFonts w:ascii="Arial" w:cs="Arial" w:eastAsia="Arial" w:hAnsi="Arial"/>
          <w:b/>
          <w:bCs/>
          <w:color w:val="F97316"/>
          <w:spacing w:val="80"/>
          <w:sz w:val="16"/>
          <w:szCs w:val="16"/>
        </w:rPr>
        <w:t xml:space="preserve">OPPORTUNITY RATING: HIGH PRIORITY — DIFFERENTIATED ECONOMICS</w:t>
      </w:r>
    </w:p>
    <w:p>
      <w:pPr>
        <w:spacing w:before="0" w:after="60"/>
      </w:pPr>
      <w:r>
        <w:t xml:space="preserve"/>
      </w:r>
    </w:p>
    <w:p>
      <w:pPr>
        <w:spacing w:before="80" w:after="140"/>
        <w:jc w:val="both"/>
      </w:pPr>
      <w:r>
        <w:rPr>
          <w:rFonts w:ascii="Arial" w:cs="Arial" w:eastAsia="Arial" w:hAnsi="Arial"/>
          <w:color w:val="1A1A1A"/>
          <w:sz w:val="22"/>
          <w:szCs w:val="22"/>
        </w:rPr>
        <w:t xml:space="preserve">The Bakken has historically had the highest flare rate (as a percentage of gas produced) of any major US basin, driven by the speed of well completion relative to gathering infrastructure buildout and North Dakota's comparatively lenient flaring history. That is changing. The North Dakota Industrial Commission has tightened compliance timelines significantly since 2020, and the basin now faces a genuine regulatory ratchet that is forcing operators to find alternatives. The harsh climate (extreme cold in winter, significant temperature swings) creates genset selection and operational challenges not present in southern basins, but the economics are compelling.</w:t>
      </w:r>
    </w:p>
    <w:p>
      <w:pPr>
        <w:pStyle w:val="ListParagraph"/>
        <w:numPr>
          <w:ilvl w:val="0"/>
          <w:numId w:val="2"/>
        </w:numPr>
        <w:spacing w:before="60" w:after="60"/>
      </w:pPr>
      <w:r>
        <w:rPr>
          <w:rFonts w:ascii="Arial" w:cs="Arial" w:eastAsia="Arial" w:hAnsi="Arial"/>
          <w:color w:val="1A1A1A"/>
          <w:sz w:val="22"/>
          <w:szCs w:val="22"/>
        </w:rPr>
        <w:t xml:space="preserve">Flaring volume: ~3.1 bcm/year; flare rate 5–7% of production (highest major US basin)</w:t>
      </w:r>
    </w:p>
    <w:p>
      <w:pPr>
        <w:pStyle w:val="ListParagraph"/>
        <w:numPr>
          <w:ilvl w:val="0"/>
          <w:numId w:val="2"/>
        </w:numPr>
        <w:spacing w:before="60" w:after="60"/>
      </w:pPr>
      <w:r>
        <w:rPr>
          <w:rFonts w:ascii="Arial" w:cs="Arial" w:eastAsia="Arial" w:hAnsi="Arial"/>
          <w:color w:val="1A1A1A"/>
          <w:sz w:val="22"/>
          <w:szCs w:val="22"/>
        </w:rPr>
        <w:t xml:space="preserve">Regulatory trend: NDIC compliance timelines tightening; operators facing permit challenges on new wells with existing flaring non-compliance</w:t>
      </w:r>
    </w:p>
    <w:p>
      <w:pPr>
        <w:pStyle w:val="ListParagraph"/>
        <w:numPr>
          <w:ilvl w:val="0"/>
          <w:numId w:val="2"/>
        </w:numPr>
        <w:spacing w:before="60" w:after="60"/>
      </w:pPr>
      <w:r>
        <w:rPr>
          <w:rFonts w:ascii="Arial" w:cs="Arial" w:eastAsia="Arial" w:hAnsi="Arial"/>
          <w:color w:val="1A1A1A"/>
          <w:sz w:val="22"/>
          <w:szCs w:val="22"/>
        </w:rPr>
        <w:t xml:space="preserve">Gas quality: Variable; higher NGL content in some zones reduces methane number; cold climate requires winterized genset configurations</w:t>
      </w:r>
    </w:p>
    <w:p>
      <w:pPr>
        <w:pStyle w:val="ListParagraph"/>
        <w:numPr>
          <w:ilvl w:val="0"/>
          <w:numId w:val="2"/>
        </w:numPr>
        <w:spacing w:before="60" w:after="60"/>
      </w:pPr>
      <w:r>
        <w:rPr>
          <w:rFonts w:ascii="Arial" w:cs="Arial" w:eastAsia="Arial" w:hAnsi="Arial"/>
          <w:color w:val="1A1A1A"/>
          <w:sz w:val="22"/>
          <w:szCs w:val="22"/>
        </w:rPr>
        <w:t xml:space="preserve">Competitive intensity: Moderate — fewer active operators than Permian; relationship advantage available</w:t>
      </w:r>
    </w:p>
    <w:p>
      <w:pPr>
        <w:spacing w:before="0" w:after="80"/>
      </w:pPr>
      <w:r>
        <w:t xml:space="preserve"/>
      </w:r>
    </w:p>
    <w:p>
      <w:pPr>
        <w:spacing w:before="200" w:after="100"/>
      </w:pPr>
      <w:r>
        <w:rPr>
          <w:rFonts w:ascii="Arial" w:cs="Arial" w:eastAsia="Arial" w:hAnsi="Arial"/>
          <w:b/>
          <w:bCs/>
          <w:color w:val="F97316"/>
          <w:sz w:val="22"/>
          <w:szCs w:val="22"/>
        </w:rPr>
        <w:t xml:space="preserve">DJ Basin (Colorado)</w:t>
      </w:r>
    </w:p>
    <w:p>
      <w:pPr>
        <w:spacing w:before="0" w:after="60"/>
      </w:pPr>
      <w:r>
        <w:rPr>
          <w:rFonts w:ascii="Arial" w:cs="Arial" w:eastAsia="Arial" w:hAnsi="Arial"/>
          <w:b/>
          <w:bCs/>
          <w:color w:val="F97316"/>
          <w:spacing w:val="80"/>
          <w:sz w:val="16"/>
          <w:szCs w:val="16"/>
        </w:rPr>
        <w:t xml:space="preserve">OPPORTUNITY RATING: SPECIALIZED — REGULATORY-DRIVEN</w:t>
      </w:r>
    </w:p>
    <w:p>
      <w:pPr>
        <w:spacing w:before="0" w:after="60"/>
      </w:pPr>
      <w:r>
        <w:t xml:space="preserve"/>
      </w:r>
    </w:p>
    <w:p>
      <w:pPr>
        <w:spacing w:before="80" w:after="140"/>
        <w:jc w:val="both"/>
      </w:pPr>
      <w:r>
        <w:rPr>
          <w:rFonts w:ascii="Arial" w:cs="Arial" w:eastAsia="Arial" w:hAnsi="Arial"/>
          <w:color w:val="1A1A1A"/>
          <w:sz w:val="22"/>
          <w:szCs w:val="22"/>
        </w:rPr>
        <w:t xml:space="preserve">Colorado's DJ Basin presents an unusual case. The state already has one of the lowest flare rates in the country (under 1% of production), the result of COGCC regulations under SB181 that effectively mandate capture of all associated gas within 90 days of first production. That regulatory stringency has largely solved the pure flaring problem. What it has not solved is the economics of low-volume, low-netback gas from late-life or remote wells where pipeline economics are negative. The DJ Basin opportunity is less about flaring compliance and more about improving the economics of gas that would otherwise be shut in.</w:t>
      </w:r>
    </w:p>
    <w:p>
      <w:pPr>
        <w:pStyle w:val="ListParagraph"/>
        <w:numPr>
          <w:ilvl w:val="0"/>
          <w:numId w:val="2"/>
        </w:numPr>
        <w:spacing w:before="60" w:after="60"/>
      </w:pPr>
      <w:r>
        <w:rPr>
          <w:rFonts w:ascii="Arial" w:cs="Arial" w:eastAsia="Arial" w:hAnsi="Arial"/>
          <w:color w:val="1A1A1A"/>
          <w:sz w:val="22"/>
          <w:szCs w:val="22"/>
        </w:rPr>
        <w:t xml:space="preserve">Flaring volume: ~0.6 bcm/year; already low and declining due to COGCC enforcement</w:t>
      </w:r>
    </w:p>
    <w:p>
      <w:pPr>
        <w:pStyle w:val="ListParagraph"/>
        <w:numPr>
          <w:ilvl w:val="0"/>
          <w:numId w:val="2"/>
        </w:numPr>
        <w:spacing w:before="60" w:after="60"/>
      </w:pPr>
      <w:r>
        <w:rPr>
          <w:rFonts w:ascii="Arial" w:cs="Arial" w:eastAsia="Arial" w:hAnsi="Arial"/>
          <w:color w:val="1A1A1A"/>
          <w:sz w:val="22"/>
          <w:szCs w:val="22"/>
        </w:rPr>
        <w:t xml:space="preserve">Regulatory trend: SB181 framework largely in place; future regulation likely to address venting and methane intensity rather than flaring volume</w:t>
      </w:r>
    </w:p>
    <w:p>
      <w:pPr>
        <w:pStyle w:val="ListParagraph"/>
        <w:numPr>
          <w:ilvl w:val="0"/>
          <w:numId w:val="2"/>
        </w:numPr>
        <w:spacing w:before="60" w:after="60"/>
      </w:pPr>
      <w:r>
        <w:rPr>
          <w:rFonts w:ascii="Arial" w:cs="Arial" w:eastAsia="Arial" w:hAnsi="Arial"/>
          <w:color w:val="1A1A1A"/>
          <w:sz w:val="22"/>
          <w:szCs w:val="22"/>
        </w:rPr>
        <w:t xml:space="preserve">Gas quality: Generally high methane content; favorable for standard gensets</w:t>
      </w:r>
    </w:p>
    <w:p>
      <w:pPr>
        <w:pStyle w:val="ListParagraph"/>
        <w:numPr>
          <w:ilvl w:val="0"/>
          <w:numId w:val="2"/>
        </w:numPr>
        <w:spacing w:before="60" w:after="60"/>
      </w:pPr>
      <w:r>
        <w:rPr>
          <w:rFonts w:ascii="Arial" w:cs="Arial" w:eastAsia="Arial" w:hAnsi="Arial"/>
          <w:color w:val="1A1A1A"/>
          <w:sz w:val="22"/>
          <w:szCs w:val="22"/>
        </w:rPr>
        <w:t xml:space="preserve">Best deployment profile: Low-netback wells with negative-to-breakeven pipeline economics</w:t>
      </w:r>
    </w:p>
    <w:p>
      <w:pPr>
        <w:spacing w:before="0" w:after="80"/>
      </w:pPr>
      <w:r>
        <w:t xml:space="preserve"/>
      </w:r>
    </w:p>
    <w:p>
      <w:pPr>
        <w:spacing w:before="200" w:after="100"/>
      </w:pPr>
      <w:r>
        <w:rPr>
          <w:rFonts w:ascii="Arial" w:cs="Arial" w:eastAsia="Arial" w:hAnsi="Arial"/>
          <w:b/>
          <w:bCs/>
          <w:color w:val="F97316"/>
          <w:sz w:val="22"/>
          <w:szCs w:val="22"/>
        </w:rPr>
        <w:t xml:space="preserve">Eagle Ford Shale (South Texas)</w:t>
      </w:r>
    </w:p>
    <w:p>
      <w:pPr>
        <w:spacing w:before="0" w:after="60"/>
      </w:pPr>
      <w:r>
        <w:rPr>
          <w:rFonts w:ascii="Arial" w:cs="Arial" w:eastAsia="Arial" w:hAnsi="Arial"/>
          <w:b/>
          <w:bCs/>
          <w:color w:val="F97316"/>
          <w:spacing w:val="80"/>
          <w:sz w:val="16"/>
          <w:szCs w:val="16"/>
        </w:rPr>
        <w:t xml:space="preserve">OPPORTUNITY RATING: MODERATE — MID-CYCLE OPPORTUNITY</w:t>
      </w:r>
    </w:p>
    <w:p>
      <w:pPr>
        <w:spacing w:before="0" w:after="60"/>
      </w:pPr>
      <w:r>
        <w:t xml:space="preserve"/>
      </w:r>
    </w:p>
    <w:p>
      <w:pPr>
        <w:spacing w:before="80" w:after="140"/>
        <w:jc w:val="both"/>
      </w:pPr>
      <w:r>
        <w:rPr>
          <w:rFonts w:ascii="Arial" w:cs="Arial" w:eastAsia="Arial" w:hAnsi="Arial"/>
          <w:color w:val="1A1A1A"/>
          <w:sz w:val="22"/>
          <w:szCs w:val="22"/>
        </w:rPr>
        <w:t xml:space="preserve">The Eagle Ford is a mature shale play with a declining production profile but continuing associated gas production and a large installed base of operators with long-term lease obligations. The basin's warm climate reduces winterization costs, and proximity to San Antonio and Houston creates better service infrastructure than the Bakken or Permian. Gas quality is generally good. The primary opportunity is not active flaring (rates are comparatively low) but marginally economic wells where pipeline take-or-pay obligations have expired and operators are evaluating alternatives to continued midstream relationships.</w:t>
      </w:r>
    </w:p>
    <w:p>
      <w:pPr>
        <w:pStyle w:val="ListParagraph"/>
        <w:numPr>
          <w:ilvl w:val="0"/>
          <w:numId w:val="2"/>
        </w:numPr>
        <w:spacing w:before="60" w:after="60"/>
      </w:pPr>
      <w:r>
        <w:rPr>
          <w:rFonts w:ascii="Arial" w:cs="Arial" w:eastAsia="Arial" w:hAnsi="Arial"/>
          <w:color w:val="1A1A1A"/>
          <w:sz w:val="22"/>
          <w:szCs w:val="22"/>
        </w:rPr>
        <w:t xml:space="preserve">Flaring volume: ~1.9 bcm/year; declining with production; primarily associated gas from oil wells</w:t>
      </w:r>
    </w:p>
    <w:p>
      <w:pPr>
        <w:pStyle w:val="ListParagraph"/>
        <w:numPr>
          <w:ilvl w:val="0"/>
          <w:numId w:val="2"/>
        </w:numPr>
        <w:spacing w:before="60" w:after="60"/>
      </w:pPr>
      <w:r>
        <w:rPr>
          <w:rFonts w:ascii="Arial" w:cs="Arial" w:eastAsia="Arial" w:hAnsi="Arial"/>
          <w:color w:val="1A1A1A"/>
          <w:sz w:val="22"/>
          <w:szCs w:val="22"/>
        </w:rPr>
        <w:t xml:space="preserve">Regulatory trend: TCEQ enforcement similar to Permian; less acute than Bakken or Permian because flare rates are lower</w:t>
      </w:r>
    </w:p>
    <w:p>
      <w:pPr>
        <w:pStyle w:val="ListParagraph"/>
        <w:numPr>
          <w:ilvl w:val="0"/>
          <w:numId w:val="2"/>
        </w:numPr>
        <w:spacing w:before="60" w:after="60"/>
      </w:pPr>
      <w:r>
        <w:rPr>
          <w:rFonts w:ascii="Arial" w:cs="Arial" w:eastAsia="Arial" w:hAnsi="Arial"/>
          <w:color w:val="1A1A1A"/>
          <w:sz w:val="22"/>
          <w:szCs w:val="22"/>
        </w:rPr>
        <w:t xml:space="preserve">Competitive intensity: Low to moderate; sector presence less developed than Permian</w:t>
      </w:r>
    </w:p>
    <w:p>
      <w:pPr>
        <w:pStyle w:val="ListParagraph"/>
        <w:numPr>
          <w:ilvl w:val="0"/>
          <w:numId w:val="2"/>
        </w:numPr>
        <w:spacing w:before="60" w:after="60"/>
      </w:pPr>
      <w:r>
        <w:rPr>
          <w:rFonts w:ascii="Arial" w:cs="Arial" w:eastAsia="Arial" w:hAnsi="Arial"/>
          <w:color w:val="1A1A1A"/>
          <w:sz w:val="22"/>
          <w:szCs w:val="22"/>
        </w:rPr>
        <w:t xml:space="preserve">Best deployment profile: Mature wells with expired midstream contracts; operators seeking alternative economics</w:t>
      </w:r>
    </w:p>
    <w:p>
      <w:pPr>
        <w:spacing w:before="0" w:after="120"/>
      </w:pPr>
      <w:r>
        <w:t xml:space="preserve"/>
      </w:r>
    </w:p>
    <w:p>
      <w:r>
        <w:br w:type="page"/>
      </w:r>
    </w:p>
    <w:p>
      <w:pPr>
        <w:pStyle w:val="Heading1"/>
        <w:spacing w:before="360" w:after="200"/>
      </w:pPr>
      <w:r>
        <w:rPr>
          <w:rFonts w:ascii="Arial" w:cs="Arial" w:eastAsia="Arial" w:hAnsi="Arial"/>
          <w:b/>
          <w:bCs/>
          <w:color w:val="0A0A0A"/>
          <w:sz w:val="36"/>
          <w:szCs w:val="36"/>
        </w:rPr>
        <w:t xml:space="preserve">6. 12-Month Outlook</w:t>
      </w:r>
    </w:p>
    <w:p>
      <w:pPr>
        <w:pBdr>
          <w:bottom w:val="single" w:color="F97316" w:sz="12" w:space="1"/>
        </w:pBdr>
        <w:spacing w:before="160" w:after="160"/>
      </w:pPr>
    </w:p>
    <w:p>
      <w:pPr>
        <w:pStyle w:val="Heading2"/>
        <w:spacing w:before="280" w:after="140"/>
      </w:pPr>
      <w:r>
        <w:rPr>
          <w:rFonts w:ascii="Arial" w:cs="Arial" w:eastAsia="Arial" w:hAnsi="Arial"/>
          <w:b/>
          <w:bCs/>
          <w:color w:val="0A0A0A"/>
          <w:sz w:val="26"/>
          <w:szCs w:val="26"/>
        </w:rPr>
        <w:t xml:space="preserve">6.1  Regulatory Tailwinds</w:t>
      </w:r>
    </w:p>
    <w:p>
      <w:pPr>
        <w:spacing w:before="80" w:after="140"/>
        <w:jc w:val="both"/>
      </w:pPr>
      <w:r>
        <w:rPr>
          <w:rFonts w:ascii="Arial" w:cs="Arial" w:eastAsia="Arial" w:hAnsi="Arial"/>
          <w:color w:val="1A1A1A"/>
          <w:sz w:val="22"/>
          <w:szCs w:val="22"/>
        </w:rPr>
        <w:t xml:space="preserve">The single most important near-term driver for gas-to-hash deployment activity is not Bitcoin price — it is methane regulation. The EPA's Methane Emissions Reduction Program (OOOOb/c rules), finalized in 2023 and now in the enforcement ramp-up period, establishes the first comprehensive federal requirements for routine flaring reduction at oil and gas production sites. Combined with state-level enforcement in Texas (TCEQ), North Dakota (NDIC), and Colorado (COGCC), operators are facing an unprecedented combination of federal and state regulatory pressure on flaring compliance.</w:t>
      </w:r>
    </w:p>
    <w:p>
      <w:pPr>
        <w:spacing w:before="80" w:after="140"/>
        <w:jc w:val="both"/>
      </w:pPr>
      <w:r>
        <w:rPr>
          <w:rFonts w:ascii="Arial" w:cs="Arial" w:eastAsia="Arial" w:hAnsi="Arial"/>
          <w:color w:val="1A1A1A"/>
          <w:sz w:val="22"/>
          <w:szCs w:val="22"/>
        </w:rPr>
        <w:t xml:space="preserve">The practical effect: operators who have been deferring the flaring conversation for the past 3–5 years are now being forced to act. The regulatory calendar creates a natural urgency that converts previously slow-moving operator conversations into active deal discussions. The 12-month outlook for deal pipeline activity is the strongest it has been since the 2021 Bitcoin bull run — for structural regulatory reasons, not price-driven speculation.</w:t>
      </w:r>
    </w:p>
    <w:p>
      <w:pPr>
        <w:pStyle w:val="Heading2"/>
        <w:spacing w:before="280" w:after="140"/>
      </w:pPr>
      <w:r>
        <w:rPr>
          <w:rFonts w:ascii="Arial" w:cs="Arial" w:eastAsia="Arial" w:hAnsi="Arial"/>
          <w:b/>
          <w:bCs/>
          <w:color w:val="0A0A0A"/>
          <w:sz w:val="26"/>
          <w:szCs w:val="26"/>
        </w:rPr>
        <w:t xml:space="preserve">6.2  Bitcoin Price and Hashprice Outlook</w:t>
      </w:r>
    </w:p>
    <w:p>
      <w:pPr>
        <w:spacing w:before="80" w:after="140"/>
        <w:jc w:val="both"/>
      </w:pPr>
      <w:r>
        <w:rPr>
          <w:rFonts w:ascii="Arial" w:cs="Arial" w:eastAsia="Arial" w:hAnsi="Arial"/>
          <w:color w:val="1A1A1A"/>
          <w:sz w:val="22"/>
          <w:szCs w:val="22"/>
        </w:rPr>
        <w:t xml:space="preserve">MCF.digital does not make Bitcoin price predictions. What we can say is that the current price environment ($60,000–$80,000 range as of early 2026) represents a post-halving consolidation range that, based on prior cycles, often precedes a sustained price expansion in the 12–24 months following a halving. That observation does not constitute an investment thesis.</w:t>
      </w:r>
    </w:p>
    <w:p>
      <w:pPr>
        <w:spacing w:before="80" w:after="140"/>
        <w:jc w:val="both"/>
      </w:pPr>
      <w:r>
        <w:rPr>
          <w:rFonts w:ascii="Arial" w:cs="Arial" w:eastAsia="Arial" w:hAnsi="Arial"/>
          <w:color w:val="1A1A1A"/>
          <w:sz w:val="22"/>
          <w:szCs w:val="22"/>
        </w:rPr>
        <w:t xml:space="preserve">What is more relevant for deployment economics is the hashprice floor. The post-2024-halving hashprice floor has been approximately $40–$45/PH/day even during the weakest price periods. At that hashprice, and at wellhead gas prices below $1.50/MMBtu, new deployments remain economically viable. The range of scenarios under which a new 2026 deployment fails to recover CapEx is narrow — essentially limited to a Bitcoin price collapse below $20,000 sustained for more than 12 months.</w:t>
      </w:r>
    </w:p>
    <w:p>
      <w:pPr>
        <w:pStyle w:val="Heading2"/>
        <w:spacing w:before="280" w:after="140"/>
      </w:pPr>
      <w:r>
        <w:rPr>
          <w:rFonts w:ascii="Arial" w:cs="Arial" w:eastAsia="Arial" w:hAnsi="Arial"/>
          <w:b/>
          <w:bCs/>
          <w:color w:val="0A0A0A"/>
          <w:sz w:val="26"/>
          <w:szCs w:val="26"/>
        </w:rPr>
        <w:t xml:space="preserve">6.3  Hardware and Supply Chain</w:t>
      </w:r>
    </w:p>
    <w:p>
      <w:pPr>
        <w:spacing w:before="80" w:after="140"/>
        <w:jc w:val="both"/>
      </w:pPr>
      <w:r>
        <w:rPr>
          <w:rFonts w:ascii="Arial" w:cs="Arial" w:eastAsia="Arial" w:hAnsi="Arial"/>
          <w:color w:val="1A1A1A"/>
          <w:sz w:val="22"/>
          <w:szCs w:val="22"/>
        </w:rPr>
        <w:t xml:space="preserve">The ASIC hardware supply chain has normalized significantly following the disruptions of 2021–2022. Current-generation hardware (S21, M60 series) is available with 4–8 week delivery lead times at prices of $12–$18/TH. Next-generation hardware from major manufacturers is available for 2026 delivery with 6–12 month lead times.</w:t>
      </w:r>
    </w:p>
    <w:p>
      <w:pPr>
        <w:spacing w:before="80" w:after="140"/>
        <w:jc w:val="both"/>
      </w:pPr>
      <w:r>
        <w:rPr>
          <w:rFonts w:ascii="Arial" w:cs="Arial" w:eastAsia="Arial" w:hAnsi="Arial"/>
          <w:color w:val="1A1A1A"/>
          <w:sz w:val="22"/>
          <w:szCs w:val="22"/>
        </w:rPr>
        <w:t xml:space="preserve">For gas-to-hash deployments, hardware procurement strategy should account for the total deployment timeline, which typically runs 8–14 weeks from site assessment to first hash. Ordering hardware concurrent with site due diligence is standard practice. The risk of hardware price decline during the procurement window has been modest in the current environment, given relatively stable BTC and hashprice levels.</w:t>
      </w:r>
    </w:p>
    <w:p>
      <w:pPr>
        <w:pStyle w:val="Heading2"/>
        <w:spacing w:before="280" w:after="140"/>
      </w:pPr>
      <w:r>
        <w:rPr>
          <w:rFonts w:ascii="Arial" w:cs="Arial" w:eastAsia="Arial" w:hAnsi="Arial"/>
          <w:b/>
          <w:bCs/>
          <w:color w:val="0A0A0A"/>
          <w:sz w:val="26"/>
          <w:szCs w:val="26"/>
        </w:rPr>
        <w:t xml:space="preserve">6.4  Capital Availability</w:t>
      </w:r>
    </w:p>
    <w:p>
      <w:pPr>
        <w:spacing w:before="80" w:after="140"/>
        <w:jc w:val="both"/>
      </w:pPr>
      <w:r>
        <w:rPr>
          <w:rFonts w:ascii="Arial" w:cs="Arial" w:eastAsia="Arial" w:hAnsi="Arial"/>
          <w:color w:val="1A1A1A"/>
          <w:sz w:val="22"/>
          <w:szCs w:val="22"/>
        </w:rPr>
        <w:t xml:space="preserve">Institutional capital interest in gas-to-hash as a real-asset Bitcoin exposure vehicle has grown substantially since 2023. Family offices, energy-focused private equity, and a growing number of HNWI capital allocators are actively seeking established operators with track records and transparent custody-first payout structures. The capital is available; the constraint is the pipeline of deployment-ready sites with executed operator agreements.</w:t>
      </w:r>
    </w:p>
    <w:p>
      <w:pPr>
        <w:spacing w:before="80" w:after="140"/>
        <w:jc w:val="both"/>
      </w:pPr>
      <w:r>
        <w:rPr>
          <w:rFonts w:ascii="Arial" w:cs="Arial" w:eastAsia="Arial" w:hAnsi="Arial"/>
          <w:color w:val="1A1A1A"/>
          <w:sz w:val="22"/>
          <w:szCs w:val="22"/>
        </w:rPr>
        <w:t xml:space="preserve">For the 12-month period, we expect the most active deployment growth to occur in the Permian and Bakken, driven by regulatory pressure, and in new operator relationships facilitated by capital partners who bring both CapEx and operator introductions. The structure of the market is shifting from bilateral miner-operator deals toward three-party arrangements (operator + miner + capital partner) that distribute both capital requirements and deal facilitation more efficiently.</w:t>
      </w:r>
    </w:p>
    <w:p>
      <w:pPr>
        <w:pStyle w:val="Heading2"/>
        <w:spacing w:before="280" w:after="140"/>
      </w:pPr>
      <w:r>
        <w:rPr>
          <w:rFonts w:ascii="Arial" w:cs="Arial" w:eastAsia="Arial" w:hAnsi="Arial"/>
          <w:b/>
          <w:bCs/>
          <w:color w:val="0A0A0A"/>
          <w:sz w:val="26"/>
          <w:szCs w:val="26"/>
        </w:rPr>
        <w:t xml:space="preserve">6.5  Key Risks</w:t>
      </w:r>
    </w:p>
    <w:p>
      <w:pPr>
        <w:spacing w:before="80" w:after="140"/>
        <w:jc w:val="both"/>
      </w:pPr>
      <w:r>
        <w:rPr>
          <w:rFonts w:ascii="Arial" w:cs="Arial" w:eastAsia="Arial" w:hAnsi="Arial"/>
          <w:color w:val="1A1A1A"/>
          <w:sz w:val="22"/>
          <w:szCs w:val="22"/>
        </w:rPr>
        <w:t xml:space="preserve">The primary risks to the 12-month outlook:</w:t>
      </w:r>
    </w:p>
    <w:p>
      <w:pPr>
        <w:pStyle w:val="ListParagraph"/>
        <w:numPr>
          <w:ilvl w:val="0"/>
          <w:numId w:val="2"/>
        </w:numPr>
        <w:spacing w:before="60" w:after="60"/>
      </w:pPr>
      <w:r>
        <w:rPr>
          <w:rFonts w:ascii="Arial" w:cs="Arial" w:eastAsia="Arial" w:hAnsi="Arial"/>
          <w:color w:val="1A1A1A"/>
          <w:sz w:val="22"/>
          <w:szCs w:val="22"/>
        </w:rPr>
        <w:t xml:space="preserve">Bitcoin price decline to sub-$30,000: Would compress miner margins in hosting structures and could trigger curtailment events. Network difficulty would adjust, partially offsetting the price impact. Low probability but highest impact scenario.</w:t>
      </w:r>
    </w:p>
    <w:p>
      <w:pPr>
        <w:pStyle w:val="ListParagraph"/>
        <w:numPr>
          <w:ilvl w:val="0"/>
          <w:numId w:val="2"/>
        </w:numPr>
        <w:spacing w:before="60" w:after="60"/>
      </w:pPr>
      <w:r>
        <w:rPr>
          <w:rFonts w:ascii="Arial" w:cs="Arial" w:eastAsia="Arial" w:hAnsi="Arial"/>
          <w:color w:val="1A1A1A"/>
          <w:sz w:val="22"/>
          <w:szCs w:val="22"/>
        </w:rPr>
        <w:t xml:space="preserve">Regulatory reversal: A significant relaxation of EPA methane rules under a new regulatory framework could reduce urgency for operators, slowing deal pipeline. The current political environment makes this a genuine risk.</w:t>
      </w:r>
    </w:p>
    <w:p>
      <w:pPr>
        <w:pStyle w:val="ListParagraph"/>
        <w:numPr>
          <w:ilvl w:val="0"/>
          <w:numId w:val="2"/>
        </w:numPr>
        <w:spacing w:before="60" w:after="60"/>
      </w:pPr>
      <w:r>
        <w:rPr>
          <w:rFonts w:ascii="Arial" w:cs="Arial" w:eastAsia="Arial" w:hAnsi="Arial"/>
          <w:color w:val="1A1A1A"/>
          <w:sz w:val="22"/>
          <w:szCs w:val="22"/>
        </w:rPr>
        <w:t xml:space="preserve">Hardware oversupply or rapid efficiency gains: A step-change improvement in ASIC efficiency (below 10 J/TH at scale) could make existing field deployments obsolete faster than anticipated.</w:t>
      </w:r>
    </w:p>
    <w:p>
      <w:pPr>
        <w:pStyle w:val="ListParagraph"/>
        <w:numPr>
          <w:ilvl w:val="0"/>
          <w:numId w:val="2"/>
        </w:numPr>
        <w:spacing w:before="60" w:after="60"/>
      </w:pPr>
      <w:r>
        <w:rPr>
          <w:rFonts w:ascii="Arial" w:cs="Arial" w:eastAsia="Arial" w:hAnsi="Arial"/>
          <w:color w:val="1A1A1A"/>
          <w:sz w:val="22"/>
          <w:szCs w:val="22"/>
        </w:rPr>
        <w:t xml:space="preserve">Operator credit and curtailment risk: As the market matures, differentiating between operators with genuine compliance urgency and those using gas-to-hash as a short-term bridge to avoid infrastructure investment becomes more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24"/>
              <w:bottom w:val="single" w:color="059669" w:sz="8"/>
              <w:right w:val="single" w:color="059669" w:sz="8"/>
            </w:tcBorders>
            <w:shd w:fill="D1FAE5" w:val="clear"/>
            <w:tcMar>
              <w:top w:type="dxa" w:w="160"/>
              <w:left w:type="dxa" w:w="200"/>
              <w:bottom w:type="dxa" w:w="160"/>
              <w:right w:type="dxa" w:w="200"/>
            </w:tcMar>
          </w:tcPr>
          <w:p>
            <w:pPr>
              <w:spacing w:before="0" w:after="80"/>
            </w:pPr>
            <w:r>
              <w:rPr>
                <w:rFonts w:ascii="Arial" w:cs="Arial" w:eastAsia="Arial" w:hAnsi="Arial"/>
                <w:b/>
                <w:bCs/>
                <w:color w:val="059669"/>
                <w:sz w:val="20"/>
                <w:szCs w:val="20"/>
              </w:rPr>
              <w:t xml:space="preserve">2026 Outlook Summary</w:t>
            </w:r>
          </w:p>
          <w:p>
            <w:pPr>
              <w:spacing w:before="40" w:after="40"/>
            </w:pPr>
            <w:r>
              <w:rPr>
                <w:rFonts w:ascii="Arial" w:cs="Arial" w:eastAsia="Arial" w:hAnsi="Arial"/>
                <w:color w:val="1A1A1A"/>
                <w:sz w:val="20"/>
                <w:szCs w:val="20"/>
              </w:rPr>
              <w:t xml:space="preserve">Regulatory tailwinds: Strong. EPA enforcement ramp-up and state-level pressure are creating unprecedented deal urgency.</w:t>
            </w:r>
          </w:p>
          <w:p>
            <w:pPr>
              <w:spacing w:before="40" w:after="40"/>
            </w:pPr>
            <w:r>
              <w:rPr>
                <w:rFonts w:ascii="Arial" w:cs="Arial" w:eastAsia="Arial" w:hAnsi="Arial"/>
                <w:color w:val="1A1A1A"/>
                <w:sz w:val="20"/>
                <w:szCs w:val="20"/>
              </w:rPr>
              <w:t xml:space="preserve">Bitcoin economics: Favorable. Post-halving hashprice range supports positive deployment economics at all stranded gas price levels.</w:t>
            </w:r>
          </w:p>
          <w:p>
            <w:pPr>
              <w:spacing w:before="40" w:after="40"/>
            </w:pPr>
            <w:r>
              <w:rPr>
                <w:rFonts w:ascii="Arial" w:cs="Arial" w:eastAsia="Arial" w:hAnsi="Arial"/>
                <w:color w:val="1A1A1A"/>
                <w:sz w:val="20"/>
                <w:szCs w:val="20"/>
              </w:rPr>
              <w:t xml:space="preserve">Capital availability: Growing. Institutional capital is moving from awareness to active allocation.</w:t>
            </w:r>
          </w:p>
          <w:p>
            <w:pPr>
              <w:spacing w:before="40" w:after="40"/>
            </w:pPr>
            <w:r>
              <w:rPr>
                <w:rFonts w:ascii="Arial" w:cs="Arial" w:eastAsia="Arial" w:hAnsi="Arial"/>
                <w:color w:val="1A1A1A"/>
                <w:sz w:val="20"/>
                <w:szCs w:val="20"/>
              </w:rPr>
              <w:t xml:space="preserve">Competitive intensity: Increasing. More operators are entering the market; relationship quality and execution track record are becoming differentiating factors.</w:t>
            </w:r>
          </w:p>
          <w:p>
            <w:pPr>
              <w:spacing w:before="40" w:after="40"/>
            </w:pPr>
            <w:r>
              <w:rPr>
                <w:rFonts w:ascii="Arial" w:cs="Arial" w:eastAsia="Arial" w:hAnsi="Arial"/>
                <w:color w:val="1A1A1A"/>
                <w:sz w:val="20"/>
                <w:szCs w:val="20"/>
              </w:rPr>
              <w:t xml:space="preserve">Net assessment: 2026 represents the strongest structural entry environment for new gas-to-hash deployments since the category's emergence. The economics work. The regulation is forcing action. The capital is available.</w:t>
            </w:r>
          </w:p>
        </w:tc>
      </w:tr>
    </w:tbl>
    <w:p>
      <w:pPr>
        <w:spacing w:before="0" w:after="120"/>
      </w:pPr>
      <w:r>
        <w:t xml:space="preserve"/>
      </w:r>
    </w:p>
    <w:p>
      <w:r>
        <w:br w:type="page"/>
      </w:r>
    </w:p>
    <w:p>
      <w:pPr>
        <w:pStyle w:val="Heading1"/>
        <w:spacing w:before="360" w:after="200"/>
      </w:pPr>
      <w:r>
        <w:rPr>
          <w:rFonts w:ascii="Arial" w:cs="Arial" w:eastAsia="Arial" w:hAnsi="Arial"/>
          <w:b/>
          <w:bCs/>
          <w:color w:val="0A0A0A"/>
          <w:sz w:val="36"/>
          <w:szCs w:val="36"/>
        </w:rPr>
        <w:t xml:space="preserve">Appendix: Key Terms and Definitions</w:t>
      </w:r>
    </w:p>
    <w:p>
      <w:pPr>
        <w:pBdr>
          <w:bottom w:val="single" w:color="F97316" w:sz="12" w:space="1"/>
        </w:pBdr>
        <w:spacing w:before="160" w:after="160"/>
      </w:pPr>
    </w:p>
    <w:p>
      <w:pPr>
        <w:spacing w:before="80" w:after="140"/>
        <w:jc w:val="both"/>
      </w:pPr>
      <w:r>
        <w:rPr>
          <w:rFonts w:ascii="Arial" w:cs="Arial" w:eastAsia="Arial" w:hAnsi="Arial"/>
          <w:color w:val="1A1A1A"/>
          <w:sz w:val="22"/>
          <w:szCs w:val="22"/>
        </w:rPr>
        <w:t xml:space="preserve">This report uses the following terms as defined by MCF.digital. Full definitions are available at mcf.digital/glossary.</w:t>
      </w:r>
    </w:p>
    <w:p>
      <w:pPr>
        <w:spacing w:before="0" w:after="60"/>
      </w:pPr>
      <w:r>
        <w:t xml:space="preserve"/>
      </w:r>
    </w:p>
    <w:p>
      <w:pPr>
        <w:spacing w:before="200" w:after="100"/>
      </w:pPr>
      <w:r>
        <w:rPr>
          <w:rFonts w:ascii="Arial" w:cs="Arial" w:eastAsia="Arial" w:hAnsi="Arial"/>
          <w:b/>
          <w:bCs/>
          <w:color w:val="F97316"/>
          <w:sz w:val="22"/>
          <w:szCs w:val="22"/>
        </w:rPr>
        <w:t xml:space="preserve">Gas-to-Hash</w:t>
      </w:r>
    </w:p>
    <w:p>
      <w:pPr>
        <w:spacing w:before="80" w:after="140"/>
        <w:jc w:val="both"/>
      </w:pPr>
      <w:r>
        <w:rPr>
          <w:rFonts w:ascii="Arial" w:cs="Arial" w:eastAsia="Arial" w:hAnsi="Arial"/>
          <w:color w:val="1A1A1A"/>
          <w:sz w:val="22"/>
          <w:szCs w:val="22"/>
        </w:rPr>
        <w:t xml:space="preserve">The process of converting wellhead natural gas into Bitcoin hashrate via on-site power generation and compute. Gas stream → genset → power conditioning → ASIC miners → Bitcoin.</w:t>
      </w:r>
    </w:p>
    <w:p>
      <w:pPr>
        <w:spacing w:before="200" w:after="100"/>
      </w:pPr>
      <w:r>
        <w:rPr>
          <w:rFonts w:ascii="Arial" w:cs="Arial" w:eastAsia="Arial" w:hAnsi="Arial"/>
          <w:b/>
          <w:bCs/>
          <w:color w:val="F97316"/>
          <w:sz w:val="22"/>
          <w:szCs w:val="22"/>
        </w:rPr>
        <w:t xml:space="preserve">Hashprice</w:t>
      </w:r>
    </w:p>
    <w:p>
      <w:pPr>
        <w:spacing w:before="80" w:after="140"/>
        <w:jc w:val="both"/>
      </w:pPr>
      <w:r>
        <w:rPr>
          <w:rFonts w:ascii="Arial" w:cs="Arial" w:eastAsia="Arial" w:hAnsi="Arial"/>
          <w:color w:val="1A1A1A"/>
          <w:sz w:val="22"/>
          <w:szCs w:val="22"/>
        </w:rPr>
        <w:t xml:space="preserve">Daily revenue per petahash per second (PH/s) of Bitcoin mining capacity. Calculated as: (block subsidy in BTC × BTC price USD) ÷ (network hashrate in PH/s × 86,400 seconds). The primary metric for evaluating mining profitability.</w:t>
      </w:r>
    </w:p>
    <w:p>
      <w:pPr>
        <w:spacing w:before="200" w:after="100"/>
      </w:pPr>
      <w:r>
        <w:rPr>
          <w:rFonts w:ascii="Arial" w:cs="Arial" w:eastAsia="Arial" w:hAnsi="Arial"/>
          <w:b/>
          <w:bCs/>
          <w:color w:val="F97316"/>
          <w:sz w:val="22"/>
          <w:szCs w:val="22"/>
        </w:rPr>
        <w:t xml:space="preserve">Genset Derate</w:t>
      </w:r>
    </w:p>
    <w:p>
      <w:pPr>
        <w:spacing w:before="80" w:after="140"/>
        <w:jc w:val="both"/>
      </w:pPr>
      <w:r>
        <w:rPr>
          <w:rFonts w:ascii="Arial" w:cs="Arial" w:eastAsia="Arial" w:hAnsi="Arial"/>
          <w:color w:val="1A1A1A"/>
          <w:sz w:val="22"/>
          <w:szCs w:val="22"/>
        </w:rPr>
        <w:t xml:space="preserve">The reduction in a generator's rated output capacity caused by operating conditions including altitude, ambient temperature, and fuel gas quality. A generator rated at 500 kW at sea level, 77°F, and methane number 80 may produce only 380–420 kW at a typical Permian Basin site.</w:t>
      </w:r>
    </w:p>
    <w:p>
      <w:pPr>
        <w:spacing w:before="200" w:after="100"/>
      </w:pPr>
      <w:r>
        <w:rPr>
          <w:rFonts w:ascii="Arial" w:cs="Arial" w:eastAsia="Arial" w:hAnsi="Arial"/>
          <w:b/>
          <w:bCs/>
          <w:color w:val="F97316"/>
          <w:sz w:val="22"/>
          <w:szCs w:val="22"/>
        </w:rPr>
        <w:t xml:space="preserve">Methane Number (MN)</w:t>
      </w:r>
    </w:p>
    <w:p>
      <w:pPr>
        <w:spacing w:before="80" w:after="140"/>
        <w:jc w:val="both"/>
      </w:pPr>
      <w:r>
        <w:rPr>
          <w:rFonts w:ascii="Arial" w:cs="Arial" w:eastAsia="Arial" w:hAnsi="Arial"/>
          <w:color w:val="1A1A1A"/>
          <w:sz w:val="22"/>
          <w:szCs w:val="22"/>
        </w:rPr>
        <w:t xml:space="preserve">A measure of a natural gas mixture's resistance to engine knock, analogous to octane rating for gasoline. Higher methane number = more knock-resistant = better for generator performance. Standard natural gas: MN 65–80. High-NGL content gas: MN 50–65 (may require fuel conditioning).</w:t>
      </w:r>
    </w:p>
    <w:p>
      <w:pPr>
        <w:spacing w:before="200" w:after="100"/>
      </w:pPr>
      <w:r>
        <w:rPr>
          <w:rFonts w:ascii="Arial" w:cs="Arial" w:eastAsia="Arial" w:hAnsi="Arial"/>
          <w:b/>
          <w:bCs/>
          <w:color w:val="F97316"/>
          <w:sz w:val="22"/>
          <w:szCs w:val="22"/>
        </w:rPr>
        <w:t xml:space="preserve">Netback</w:t>
      </w:r>
    </w:p>
    <w:p>
      <w:pPr>
        <w:spacing w:before="80" w:after="140"/>
        <w:jc w:val="both"/>
      </w:pPr>
      <w:r>
        <w:rPr>
          <w:rFonts w:ascii="Arial" w:cs="Arial" w:eastAsia="Arial" w:hAnsi="Arial"/>
          <w:color w:val="1A1A1A"/>
          <w:sz w:val="22"/>
          <w:szCs w:val="22"/>
        </w:rPr>
        <w:t xml:space="preserve">The wellhead-equivalent value of a unit of gas after subtracting midstream costs (gathering, compression, processing, transportation) and royalties from the sales price at the point of sale. Low netback = high midstream cost burden relative to gas value.</w:t>
      </w:r>
    </w:p>
    <w:p>
      <w:pPr>
        <w:spacing w:before="200" w:after="100"/>
      </w:pPr>
      <w:r>
        <w:rPr>
          <w:rFonts w:ascii="Arial" w:cs="Arial" w:eastAsia="Arial" w:hAnsi="Arial"/>
          <w:b/>
          <w:bCs/>
          <w:color w:val="F97316"/>
          <w:sz w:val="22"/>
          <w:szCs w:val="22"/>
        </w:rPr>
        <w:t xml:space="preserve">Custody-First Payout</w:t>
      </w:r>
    </w:p>
    <w:p>
      <w:pPr>
        <w:spacing w:before="80" w:after="140"/>
        <w:jc w:val="both"/>
      </w:pPr>
      <w:r>
        <w:rPr>
          <w:rFonts w:ascii="Arial" w:cs="Arial" w:eastAsia="Arial" w:hAnsi="Arial"/>
          <w:color w:val="1A1A1A"/>
          <w:sz w:val="22"/>
          <w:szCs w:val="22"/>
        </w:rPr>
        <w:t xml:space="preserve">A Bitcoin revenue distribution structure in which the investor or capital partner receives Bitcoin directly to their own wallet before any other distribution. The chain of custody is: mining pool → capital partner wallet. No intermediary holds the Bitcoin between mining and receipt.</w:t>
      </w:r>
    </w:p>
    <w:p>
      <w:pPr>
        <w:spacing w:before="200" w:after="100"/>
      </w:pPr>
      <w:r>
        <w:rPr>
          <w:rFonts w:ascii="Arial" w:cs="Arial" w:eastAsia="Arial" w:hAnsi="Arial"/>
          <w:b/>
          <w:bCs/>
          <w:color w:val="F97316"/>
          <w:sz w:val="22"/>
          <w:szCs w:val="22"/>
        </w:rPr>
        <w:t xml:space="preserve">On-Lease Bitcoin Mining</w:t>
      </w:r>
    </w:p>
    <w:p>
      <w:pPr>
        <w:spacing w:before="80" w:after="140"/>
        <w:jc w:val="both"/>
      </w:pPr>
      <w:r>
        <w:rPr>
          <w:rFonts w:ascii="Arial" w:cs="Arial" w:eastAsia="Arial" w:hAnsi="Arial"/>
          <w:color w:val="1A1A1A"/>
          <w:sz w:val="22"/>
          <w:szCs w:val="22"/>
        </w:rPr>
        <w:t xml:space="preserve">Bitcoin mining operations co-located at an oil and gas production site, using on-site gas-powered generation rather than grid electricity. Power and compute are deployed at the wellhead rather than at a remote facility.</w:t>
      </w:r>
    </w:p>
    <w:p>
      <w:pPr>
        <w:pBdr>
          <w:bottom w:val="single" w:color="E5E7EB" w:sz="4" w:space="1"/>
        </w:pBdr>
        <w:spacing w:before="100" w:after="100"/>
      </w:pPr>
    </w:p>
    <w:p>
      <w:pPr>
        <w:spacing w:before="0" w:after="80"/>
      </w:pPr>
      <w:r>
        <w:t xml:space="preserve"/>
      </w:r>
    </w:p>
    <w:p>
      <w:pPr>
        <w:spacing w:before="0" w:after="100"/>
      </w:pPr>
      <w:r>
        <w:rPr>
          <w:rFonts w:ascii="Arial" w:cs="Arial" w:eastAsia="Arial" w:hAnsi="Arial"/>
          <w:b/>
          <w:bCs/>
          <w:color w:val="0A0A0A"/>
          <w:sz w:val="22"/>
          <w:szCs w:val="22"/>
        </w:rPr>
        <w:t xml:space="preserve">About MCF.digital</w:t>
      </w:r>
    </w:p>
    <w:p>
      <w:pPr>
        <w:spacing w:before="80" w:after="140"/>
        <w:jc w:val="both"/>
      </w:pPr>
      <w:r>
        <w:rPr>
          <w:rFonts w:ascii="Arial" w:cs="Arial" w:eastAsia="Arial" w:hAnsi="Arial"/>
          <w:color w:val="1A1A1A"/>
          <w:sz w:val="22"/>
          <w:szCs w:val="22"/>
        </w:rPr>
        <w:t xml:space="preserve">MCF.digital matches oil and gas operators, miners, and capital, then builds and runs on-lease power and compute so everyone wins. We work with flare site operators, low-netback producers, institutional capital allocators, and Bitcoin miners who need reliable gas-powered sites.</w:t>
      </w:r>
    </w:p>
    <w:p>
      <w:pPr>
        <w:spacing w:before="80" w:after="140"/>
        <w:jc w:val="both"/>
      </w:pPr>
      <w:r>
        <w:rPr>
          <w:rFonts w:ascii="Arial" w:cs="Arial" w:eastAsia="Arial" w:hAnsi="Arial"/>
          <w:color w:val="1A1A1A"/>
          <w:sz w:val="22"/>
          <w:szCs w:val="22"/>
        </w:rPr>
        <w:t xml:space="preserve">Run the numbers at tools.mcf.digital — our Gas-to-Hash Feasibility Calculator and Netback Comparison Tool are free to use. Book a 15-minute fit call at mcf.digital/contact.</w:t>
      </w:r>
    </w:p>
    <w:p>
      <w:pPr>
        <w:spacing w:before="0" w:after="80"/>
      </w:pPr>
      <w:r>
        <w:t xml:space="preserve"/>
      </w:r>
    </w:p>
    <w:p>
      <w:pPr>
        <w:spacing w:before="0" w:after="80"/>
      </w:pPr>
      <w:r>
        <w:rPr>
          <w:rFonts w:ascii="Arial" w:cs="Arial" w:eastAsia="Arial" w:hAnsi="Arial"/>
          <w:b/>
          <w:bCs/>
          <w:color w:val="4B5563"/>
          <w:sz w:val="18"/>
          <w:szCs w:val="18"/>
        </w:rPr>
        <w:t xml:space="preserve">Disclaimer</w:t>
      </w:r>
    </w:p>
    <w:p>
      <w:pPr>
        <w:spacing w:before="0" w:after="0"/>
        <w:jc w:val="both"/>
      </w:pPr>
      <w:r>
        <w:rPr>
          <w:rFonts w:ascii="Arial" w:cs="Arial" w:eastAsia="Arial" w:hAnsi="Arial"/>
          <w:i/>
          <w:iCs/>
          <w:color w:val="4B5563"/>
          <w:sz w:val="18"/>
          <w:szCs w:val="18"/>
        </w:rPr>
        <w:t xml:space="preserve">This report is published for informational purposes only. Nothing in this report constitutes investment, legal, tax, or financial advice. Bitcoin price projections are not forward-looking statements. Past performance of any deployment structure is not indicative of future results. Readers should consult qualified advisors before making deployment or investment decisions.</w:t>
      </w:r>
    </w:p>
    <w:p>
      <w:pPr>
        <w:spacing w:before="0" w:after="80"/>
      </w:pPr>
      <w:r>
        <w:t xml:space="preserve"/>
      </w:r>
    </w:p>
    <w:p>
      <w:pPr>
        <w:pBdr>
          <w:top w:val="single" w:color="F97316" w:sz="4" w:space="1"/>
        </w:pBdr>
        <w:spacing w:before="160" w:after="0"/>
        <w:jc w:val="center"/>
      </w:pPr>
      <w:r>
        <w:rPr>
          <w:rFonts w:ascii="Arial" w:cs="Arial" w:eastAsia="Arial" w:hAnsi="Arial"/>
          <w:color w:val="4B5563"/>
          <w:sz w:val="18"/>
          <w:szCs w:val="18"/>
        </w:rPr>
        <w:t xml:space="preserve">© 2026 MCF.DIGITAL  |  mcf.digital  |  tools.mcf.digital  |  Annual edition, updated each January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before="100" w:after="0"/>
    </w:pPr>
    <w:r>
      <w:rPr>
        <w:rFonts w:ascii="Arial" w:cs="Arial" w:eastAsia="Arial" w:hAnsi="Arial"/>
        <w:color w:val="F97316"/>
        <w:sz w:val="18"/>
        <w:szCs w:val="18"/>
      </w:rPr>
      <w:t xml:space="preserve">mcf.digital</w:t>
    </w:r>
    <w:r>
      <w:rPr>
        <w:rFonts w:ascii="Arial" w:cs="Arial" w:eastAsia="Arial" w:hAnsi="Arial"/>
        <w:color w:val="4B5563"/>
        <w:sz w:val="18"/>
        <w:szCs w:val="18"/>
      </w:rPr>
      <w:t xml:space="preserve">  |  tools.mcf.digital</w:t>
    </w:r>
    <w:r>
      <w:rPr>
        <w:rFonts w:ascii="Arial" w:cs="Arial" w:eastAsia="Arial" w:hAnsi="Arial"/>
        <w:sz w:val="18"/>
        <w:szCs w:val="18"/>
      </w:rPr>
      <w:t xml:space="preserve">	</w:t>
    </w:r>
    <w:r>
      <w:rPr>
        <w:rFonts w:ascii="Arial" w:cs="Arial" w:eastAsia="Arial" w:hAnsi="Arial"/>
        <w:color w:val="4B5563"/>
        <w:sz w:val="18"/>
        <w:szCs w:val="18"/>
      </w:rPr>
      <w:t xml:space="preserve">Page </w:t>
    </w:r>
    <w:r>
      <w:rPr>
        <w:rFonts w:ascii="Arial" w:cs="Arial" w:eastAsia="Arial" w:hAnsi="Arial"/>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360"/>
      </w:tabs>
      <w:spacing w:before="0" w:after="100"/>
    </w:pPr>
    <w:r>
      <w:rPr>
        <w:rFonts w:ascii="Arial" w:cs="Arial" w:eastAsia="Arial" w:hAnsi="Arial"/>
        <w:color w:val="4B5563"/>
        <w:sz w:val="18"/>
        <w:szCs w:val="18"/>
      </w:rPr>
      <w:t xml:space="preserve">MCF.DIGITAL  |  Gas-to-Hash Economics in 2026</w:t>
    </w:r>
    <w:r>
      <w:rPr>
        <w:rFonts w:ascii="Arial" w:cs="Arial" w:eastAsia="Arial" w:hAnsi="Arial"/>
        <w:sz w:val="18"/>
        <w:szCs w:val="18"/>
      </w:rPr>
      <w:t xml:space="preserve">	</w:t>
    </w:r>
    <w:r>
      <w:rPr>
        <w:rFonts w:ascii="Arial" w:cs="Arial" w:eastAsia="Arial" w:hAnsi="Arial"/>
        <w:b/>
        <w:bCs/>
        <w:color w:val="F97316"/>
        <w:sz w:val="18"/>
        <w:szCs w:val="18"/>
      </w:rPr>
      <w:t xml:space="preserve">Annual Market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0A0A"/>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2026-02-27T16:33:12.415Z</dcterms:created>
  <dcterms:modified xsi:type="dcterms:W3CDTF">2026-02-27T16:33:12.416Z</dcterms:modified>
</cp:coreProperties>
</file>

<file path=docProps/custom.xml><?xml version="1.0" encoding="utf-8"?>
<Properties xmlns="http://schemas.openxmlformats.org/officeDocument/2006/custom-properties" xmlns:vt="http://schemas.openxmlformats.org/officeDocument/2006/docPropsVTypes"/>
</file>