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Revisión teórica y antecedentes</w:t>
      </w:r>
    </w:p>
    <w:p>
      <w:r>
        <w:rPr>
          <w:rFonts w:ascii="Times New Roman" w:hAnsi="Times New Roman"/>
          <w:b/>
          <w:sz w:val="24"/>
        </w:rPr>
        <w:t>El concepto de empatía</w:t>
      </w:r>
    </w:p>
    <w:p>
      <w:pPr>
        <w:ind w:firstLine="720"/>
      </w:pPr>
      <w:r>
        <w:rPr>
          <w:rFonts w:ascii="Times New Roman" w:hAnsi="Times New Roman"/>
          <w:sz w:val="24"/>
        </w:rPr>
        <w:t>La empatía no tiene una definición única. Cuff et al. (2016) revisaron 43 definiciones y hallaron ocho temas de desacuerdo, entre ellos si la empatía es cognitiva o afectiva, si depende del rasgo o de la situación y si conserva la distinción entre uno mismo y el otro; según los autores, esta inconsistencia ha afectado la investigación y la práctica. Esta prueba asume la definición de Decety y Jackson (2004): la experiencia subjetiva de semejanza entre los sentimientos propios y los de otra persona, sin perder de vista a quién pertenece cada sentimiento. La definición integra un componente afectivo (compartir el estado emocional del otro), uno cognitivo (reconocerlo y comprenderlo) y la diferenciación yo-otro.</w:t>
      </w:r>
    </w:p>
    <w:p>
      <w:r>
        <w:rPr>
          <w:rFonts w:ascii="Times New Roman" w:hAnsi="Times New Roman"/>
          <w:b/>
          <w:sz w:val="24"/>
        </w:rPr>
        <w:t>Modelos explicativos</w:t>
      </w:r>
    </w:p>
    <w:p>
      <w:pPr>
        <w:ind w:firstLine="720"/>
      </w:pPr>
      <w:r>
        <w:rPr>
          <w:rFonts w:ascii="Times New Roman" w:hAnsi="Times New Roman"/>
          <w:b/>
          <w:sz w:val="24"/>
        </w:rPr>
        <w:t>Modelo multidimensional.</w:t>
      </w:r>
      <w:r>
        <w:rPr>
          <w:rFonts w:ascii="Times New Roman" w:hAnsi="Times New Roman"/>
          <w:sz w:val="24"/>
        </w:rPr>
        <w:t xml:space="preserve"> Davis (1983) concibió la empatía como un conjunto de constructos relacionados pero distintos, medidos con el Interpersonal Reactivity Index (IRI) en 1344 universitarios. Sus dimensiones son fantasía (identificarse con personajes ficticios), toma de perspectiva (adoptar el punto de vista de otros), preocupación empática (compasión hacia otros) y malestar personal (incomodidad ante las experiencias negativas ajenas) (Pérez-Albéniz et al., 2003). Cada dimensión mostró un patrón propio de relaciones con el funcionamiento social y la emotividad (Davis, 1983).</w:t>
      </w:r>
    </w:p>
    <w:p>
      <w:pPr>
        <w:ind w:firstLine="720"/>
      </w:pPr>
      <w:r>
        <w:rPr>
          <w:rFonts w:ascii="Times New Roman" w:hAnsi="Times New Roman"/>
          <w:b/>
          <w:sz w:val="24"/>
        </w:rPr>
        <w:t>Modelo cognitivo-afectivo.</w:t>
      </w:r>
      <w:r>
        <w:rPr>
          <w:rFonts w:ascii="Times New Roman" w:hAnsi="Times New Roman"/>
          <w:sz w:val="24"/>
        </w:rPr>
        <w:t xml:space="preserve"> Jolliffe y Farrington (2006) distinguen la empatía afectiva, o experimentar una emoción congruente con la de otra persona, de la empatía cognitiva, o comprender esa emoción. Sobre este modelo construyeron la Basic Empathy Scale (BES) para adolescentes.</w:t>
      </w:r>
    </w:p>
    <w:p>
      <w:pPr>
        <w:ind w:firstLine="720"/>
      </w:pPr>
      <w:r>
        <w:rPr>
          <w:rFonts w:ascii="Times New Roman" w:hAnsi="Times New Roman"/>
          <w:b/>
          <w:sz w:val="24"/>
        </w:rPr>
        <w:t>Modelo funcional.</w:t>
      </w:r>
      <w:r>
        <w:rPr>
          <w:rFonts w:ascii="Times New Roman" w:hAnsi="Times New Roman"/>
          <w:sz w:val="24"/>
        </w:rPr>
        <w:t xml:space="preserve"> Decety y Jackson (2004) proponen cuatro macrocomponentes: representaciones neuronales compartidas, autoconciencia, flexibilidad mental y regulación emocional. Este modelo es útil porque incluye la regulación emocional como parte de la empatía.</w:t>
      </w:r>
    </w:p>
    <w:p>
      <w:r>
        <w:rPr>
          <w:rFonts w:ascii="Times New Roman" w:hAnsi="Times New Roman"/>
          <w:b/>
          <w:sz w:val="24"/>
        </w:rPr>
        <w:t>La empatía en la adolescencia</w:t>
      </w:r>
    </w:p>
    <w:p>
      <w:pPr>
        <w:ind w:firstLine="720"/>
      </w:pPr>
      <w:r>
        <w:rPr>
          <w:rFonts w:ascii="Times New Roman" w:hAnsi="Times New Roman"/>
          <w:sz w:val="24"/>
        </w:rPr>
        <w:t>En un estudio longitudinal con 497 adolescentes de 13 a 18 años, Van der Graaff et al. (2014) hallaron que la toma de perspectiva aumenta durante la adolescencia, más en las mujeres, y que la preocupación empática de los hombres disminuye entre la adolescencia temprana y la media para luego recuperarse. Jolliffe y Farrington (2006) también encontraron puntuaciones más altas en las mujeres y mayor empatía en los adolescentes dispuestos a ayudar a víctimas de acoso escolar. Además, en su revisión metaanalítica, Eisenberg y Miller (1987) encontraron relaciones positivas, de bajas a moderadas, entre empatía y conducta prosocial, y mostraron que la fuerza de esa relación depende del método de medición: las medidas con láminas o historias no se asociaron con la conducta prosocial.</w:t>
      </w:r>
    </w:p>
    <w:p>
      <w:r>
        <w:rPr>
          <w:rFonts w:ascii="Times New Roman" w:hAnsi="Times New Roman"/>
          <w:b/>
          <w:sz w:val="24"/>
        </w:rPr>
        <w:t>Antecedentes de medición</w:t>
      </w:r>
    </w:p>
    <w:p>
      <w:pPr>
        <w:ind w:firstLine="720"/>
      </w:pPr>
      <w:r>
        <w:rPr>
          <w:rFonts w:ascii="Times New Roman" w:hAnsi="Times New Roman"/>
          <w:sz w:val="24"/>
        </w:rPr>
        <w:t>La versión española del IRI mostró propiedades similares a la original, cuyos alfas iban de .70 a .78 (Pérez-Albéniz et al., 2003). Sin embargo, en 721 niños y adolescentes españoles de 9 a 16 años los análisis apoyaron una estructura de cinco factores, distinta de la original (Carrasco Ortiz et al., 2011). La BES confirmó sus dos factores en la muestra original (Jolliffe y Farrington, 2006), en 752 jóvenes españoles de 14 a 25 años, con alfa superior a .92 (Villadangos et al., 2016), y en 135 adolescentes peruanos de 11 a 18 años (Merino-Soto y Grimaldo-Muchotrigo, 2015). El Toronto Empathy Questionnaire, en cambio, concibe la empatía sobre todo como un proceso emocional (Spreng et al., 2009). En Colombia, Tezón y Mesurado (2021) validaron en niños y adolescentes de 9 a 14 años la escala de Richaud et al. (2017, citados en Tezón y Mesurado, 2021): confirmaron cinco factores y la invarianza por edad, pero no por sexo.</w:t>
      </w:r>
    </w:p>
    <w:p>
      <w:r>
        <w:rPr>
          <w:rFonts w:ascii="Times New Roman" w:hAnsi="Times New Roman"/>
          <w:b/>
          <w:sz w:val="24"/>
        </w:rPr>
        <w:t>Vacío y justificación</w:t>
      </w:r>
    </w:p>
    <w:p>
      <w:pPr>
        <w:ind w:firstLine="720"/>
      </w:pPr>
      <w:r>
        <w:rPr>
          <w:rFonts w:ascii="Times New Roman" w:hAnsi="Times New Roman"/>
          <w:sz w:val="24"/>
        </w:rPr>
        <w:t>Los antecedentes muestran que la mayoría de instrumentos revisados son adaptaciones de pruebas extranjeras, que su estructura factorial cambia con la edad y la cultura (Carrasco Ortiz et al., 2011; Tezón y Mesurado, 2021) y que son autoinformes con afirmaciones generales, sin situar la empatía en contextos concretos. Por eso se propone una prueba de empatía para adolescentes colombianos basada en situaciones cotidianas.</w:t>
      </w:r>
    </w:p>
    <w:p>
      <w:r>
        <w:rPr>
          <w:rFonts w:ascii="Times New Roman" w:hAnsi="Times New Roman"/>
          <w:b/>
          <w:sz w:val="24"/>
        </w:rPr>
        <w:t>Dimensiones de la prueba propuesta</w:t>
      </w:r>
    </w:p>
    <w:p>
      <w:pPr>
        <w:ind w:firstLine="720"/>
      </w:pPr>
      <w:r>
        <w:rPr>
          <w:rFonts w:ascii="Times New Roman" w:hAnsi="Times New Roman"/>
          <w:sz w:val="24"/>
        </w:rPr>
        <w:t xml:space="preserve">1. </w:t>
      </w:r>
      <w:r>
        <w:rPr>
          <w:rFonts w:ascii="Times New Roman" w:hAnsi="Times New Roman"/>
          <w:b/>
          <w:sz w:val="24"/>
        </w:rPr>
        <w:t>Toma de perspectiva (empatía cognitiva):</w:t>
      </w:r>
      <w:r>
        <w:rPr>
          <w:rFonts w:ascii="Times New Roman" w:hAnsi="Times New Roman"/>
          <w:sz w:val="24"/>
        </w:rPr>
        <w:t xml:space="preserve"> comprender lo que otra persona piensa y siente desde su punto de vista (Davis, 1983; Jolliffe y Farrington, 2006).</w:t>
      </w:r>
    </w:p>
    <w:p>
      <w:pPr>
        <w:ind w:firstLine="720"/>
      </w:pPr>
      <w:r>
        <w:rPr>
          <w:rFonts w:ascii="Times New Roman" w:hAnsi="Times New Roman"/>
          <w:sz w:val="24"/>
        </w:rPr>
        <w:t xml:space="preserve">2. </w:t>
      </w:r>
      <w:r>
        <w:rPr>
          <w:rFonts w:ascii="Times New Roman" w:hAnsi="Times New Roman"/>
          <w:b/>
          <w:sz w:val="24"/>
        </w:rPr>
        <w:t>Resonancia afectiva (empatía afectiva):</w:t>
      </w:r>
      <w:r>
        <w:rPr>
          <w:rFonts w:ascii="Times New Roman" w:hAnsi="Times New Roman"/>
          <w:sz w:val="24"/>
        </w:rPr>
        <w:t xml:space="preserve"> experimentar una emoción congruente con la de otra persona (Decety y Jackson, 2004; Jolliffe y Farrington, 2006).</w:t>
      </w:r>
    </w:p>
    <w:p>
      <w:pPr>
        <w:ind w:firstLine="720"/>
      </w:pPr>
      <w:r>
        <w:rPr>
          <w:rFonts w:ascii="Times New Roman" w:hAnsi="Times New Roman"/>
          <w:sz w:val="24"/>
        </w:rPr>
        <w:t xml:space="preserve">3. </w:t>
      </w:r>
      <w:r>
        <w:rPr>
          <w:rFonts w:ascii="Times New Roman" w:hAnsi="Times New Roman"/>
          <w:b/>
          <w:sz w:val="24"/>
        </w:rPr>
        <w:t>Preocupación empática:</w:t>
      </w:r>
      <w:r>
        <w:rPr>
          <w:rFonts w:ascii="Times New Roman" w:hAnsi="Times New Roman"/>
          <w:sz w:val="24"/>
        </w:rPr>
        <w:t xml:space="preserve"> compasión e interés por el bienestar del otro, asociados con la conducta prosocial (Davis, 1983; Eisenberg y Miller, 1987).</w:t>
      </w:r>
    </w:p>
    <w:p>
      <w:pPr>
        <w:ind w:firstLine="720"/>
      </w:pPr>
      <w:r>
        <w:rPr>
          <w:rFonts w:ascii="Times New Roman" w:hAnsi="Times New Roman"/>
          <w:sz w:val="24"/>
        </w:rPr>
        <w:t xml:space="preserve">4. </w:t>
      </w:r>
      <w:r>
        <w:rPr>
          <w:rFonts w:ascii="Times New Roman" w:hAnsi="Times New Roman"/>
          <w:b/>
          <w:sz w:val="24"/>
        </w:rPr>
        <w:t>Regulación del malestar personal:</w:t>
      </w:r>
      <w:r>
        <w:rPr>
          <w:rFonts w:ascii="Times New Roman" w:hAnsi="Times New Roman"/>
          <w:sz w:val="24"/>
        </w:rPr>
        <w:t xml:space="preserve"> manejar la incomodidad que produce el sufrimiento ajeno sin perder la distinción yo-otro (Cuff et al., 2016; Decety y Jackson, 2004). Es el polo positivo del malestar personal de Davis (1983).</w:t>
      </w:r>
    </w:p>
    <w:p>
      <w:pPr>
        <w:ind w:firstLine="720"/>
      </w:pPr>
      <w:r>
        <w:rPr>
          <w:rFonts w:ascii="Times New Roman" w:hAnsi="Times New Roman"/>
          <w:sz w:val="24"/>
        </w:rPr>
        <w:t>Se excluye la dimensión de fantasía porque se refiere a personajes ficticios y esta prueba evalúa situaciones reales de interacción.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