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Ficha técnica</w:t>
      </w:r>
    </w:p>
    <w:p>
      <w:r>
        <w:rPr>
          <w:rFonts w:ascii="Times New Roman" w:hAnsi="Times New Roman"/>
          <w:b/>
          <w:sz w:val="24"/>
        </w:rPr>
        <w:t>Tabla 1</w:t>
      </w:r>
    </w:p>
    <w:p>
      <w:r>
        <w:rPr>
          <w:rFonts w:ascii="Times New Roman" w:hAnsi="Times New Roman"/>
          <w:i/>
          <w:sz w:val="24"/>
        </w:rPr>
        <w:t>Ficha técnica de la Escala Situacional de Empatía para Adolescentes (ESEA)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Nombre y abreviatura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Escala Situacional de Empatía para Adolescentes (ESEA)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Autor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Juan Camilo Espinosa Agudelo, Universidad EAN (2026)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Tipo de aplicación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Individual o colectiva (grupo de aula), autoaplicada. Formato de lápiz y papel o formulario digital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Población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Adolescentes colombianos escolarizados de 12 a 17 años, de grado sexto a undécimo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Ámbito de aplicación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Educativo (orientación escolar y programas de convivencia) e investigación. No es un instrumento de diagnóstico clínico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Duración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Entre 20 y 25 minutos aproximadamente (estimación que se comprobará en el estudio piloto)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Finalidad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Evaluar el nivel de empatía en cuatro dimensiones (toma de perspectiva, resonancia afectiva, preocupación empática y regulación del malestar personal) en cuatro contextos de la vida del adolescente (familia, colegio y compañeros, entornos digitales y comunidad)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Estructura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48 ítems en la versión final: 12 por dimensión y 12 por contexto, 3 por cada cruce. Banco inicial de 96 ítems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Formato de ítem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Situación breve seguida de una afirmación sobre la propia reacción. Respuesta en escala tipo Likert de 5 puntos: 1 = nada parecido a mí; 5 = totalmente parecido a mí. Sin ítems redactados en negativo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Puntuaciones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Una puntuación por dimensión (perfil) y una puntuación descriptiva por contexto. La puntuación total solo se usará si el análisis factorial respalda una dimensión general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Baremos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Percentiles por sexo y por grupo de edad (12 a 14 y 15 a 17 años)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Materiales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Manual de aplicación, cuadernillo de ítems, hoja de respuestas, plantilla u hoja de cálculo de corrección y lápiz; o enlace al formulario digital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Requisitos éticos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Consentimiento informado firmado por el representante legal (Ley 1090 de 2006, art. 52) y asentimiento del adolescente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  <w:sz w:val="24"/>
        </w:rPr>
        <w:t>Las decisiones de la ficha siguen la primera fase de construcción de un test, que exige justificar el instrumento y precisar su población, el tipo y formato de aplicación y las decisiones que se tomarán con las puntuaciones (Muñiz, 2018; Muñiz y Fonseca-Pedrero, 2019). Los ítems se redactan sin negaciones porque la claridad es un principio básico de su construcción (Muñiz y Fonseca-Pedrero, 2019) y porque en la adaptación del LOT-R los ítems negativos confundieron a los participantes (Valdelamar-Jiménez y Sánchez-Pedraza, 2017). Los baremos se separan por sexo porque la escala colombiana de Tezón y Mesurado (2021) no fue invariante entre hombres y mujeres, y por edad porque la toma de perspectiva cambia durante la adolescencia (Van der Graaff et al., 2014). El formato multidimensional responde a que, ante una estructura con varias dimensiones, se recomienda un perfil de puntuaciones en lugar de una puntuación total (Muñiz y Fonseca-Pedrero, 2019).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Tabla de especificaciones</w:t>
      </w:r>
    </w:p>
    <w:p>
      <w:r>
        <w:rPr>
          <w:rFonts w:ascii="Times New Roman" w:hAnsi="Times New Roman"/>
          <w:b/>
          <w:sz w:val="24"/>
        </w:rPr>
        <w:t>Tabla 2</w:t>
      </w:r>
    </w:p>
    <w:p>
      <w:r>
        <w:rPr>
          <w:rFonts w:ascii="Times New Roman" w:hAnsi="Times New Roman"/>
          <w:i/>
          <w:sz w:val="24"/>
        </w:rPr>
        <w:t>Matriz de especificaciones de la ESEA: dimensiones por contextos, con indicadores y número de ítems de la versión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Dimensión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Familia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Colegio y compañeros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Entornos digitales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Comunidad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Toma de perspectiva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Comprende por qué un familiar reacciona de cierta forma (cansancio, preocupación, enojo).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Entiende el punto de vista de un compañero en un desacuerdo antes de juzgarlo.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Interpreta la intención y la emoción detrás de un mensaje o publicación de otra persona.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Considera la situación de personas distintas a él o ella (vecinos, desconocidos, personas migrantes).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Resonancia afectiva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Siente tristeza o alegría cuando un familiar está triste o alegre.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Se conmueve cuando un compañero es excluido o recibe una mala noticia.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Siente malestar al ver una publicación que humilla a alguien.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Se conmueve ante las dificultades de personas de su barrio.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Preocupación empática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Se interesa por el bienestar de un familiar y ofrece ayuda.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Ayuda o defiende a un compañero que es objeto de burla o acoso.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Apoya a quien recibe comentarios ofensivos y no difunde contenido que lo daña.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Ofrece ayuda a una persona desconocida en dificultad.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Regulación del malestar personal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Mantiene la calma ante un problema familiar que afecta a otro y puede acompañarlo.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Acompaña a un compañero angustiado sin desbordarse emocionalmente.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Ve contenido doloroso de otros sin reaccionar de forma impulsiva ni evitarlo.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 xml:space="preserve">Mantiene la calma y actúa ante un accidente o una situación de sufrimiento en la calle. </w:t>
            </w:r>
            <w:r>
              <w:rPr>
                <w:rFonts w:ascii="Times New Roman" w:hAnsi="Times New Roman"/>
                <w:b/>
                <w:sz w:val="20"/>
              </w:rPr>
              <w:t>3 ítems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48</w:t>
            </w:r>
          </w:p>
        </w:tc>
      </w:tr>
    </w:tbl>
    <w:p/>
    <w:p>
      <w:pPr>
        <w:spacing w:line="240" w:lineRule="auto"/>
      </w:pPr>
      <w:r>
        <w:rPr>
          <w:rFonts w:ascii="Times New Roman" w:hAnsi="Times New Roman"/>
          <w:i/>
          <w:sz w:val="20"/>
        </w:rPr>
        <w:t>Nota.</w:t>
      </w:r>
      <w:r>
        <w:rPr>
          <w:rFonts w:ascii="Times New Roman" w:hAnsi="Times New Roman"/>
          <w:sz w:val="20"/>
        </w:rPr>
        <w:t xml:space="preserve"> El banco inicial tendrá 6 ítems por cruce (96 en total), es decir, el doble de los que se espera conservar, como se recomienda para compensar los ítems que se descartan en el piloto (Muñiz y Fonseca-Pedrero, 2019).</w:t>
      </w:r>
    </w:p>
    <w:p/>
    <w:p>
      <w:r>
        <w:rPr>
          <w:rFonts w:ascii="Times New Roman" w:hAnsi="Times New Roman"/>
          <w:b/>
          <w:sz w:val="24"/>
        </w:rPr>
        <w:t>Tabla 3</w:t>
      </w:r>
    </w:p>
    <w:p>
      <w:r>
        <w:rPr>
          <w:rFonts w:ascii="Times New Roman" w:hAnsi="Times New Roman"/>
          <w:i/>
          <w:sz w:val="24"/>
        </w:rPr>
        <w:t>Ejemplos de ítems de la ESEA (uno por dimensión)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Dimensión y contexto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Ítem de ejemplo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Toma de perspectiva, colegio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"Un compañero no quiere hacer el trabajo en grupo como yo propongo. Antes de enojarme, trato de entender por qué piensa diferente."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Resonancia afectiva, familia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"Mi hermano está triste porque perdió un examen importante. Yo también me siento triste por él."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Preocupación empática, entornos digitales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"En un grupo de chat se burlan de la foto de una compañera. Le escribo para saber cómo está."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Regulación del malestar, comunidad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"Veo que una persona se cae en la calle y se lastima. Mantengo la calma y busco cómo ayudarla."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Revisión de la estructura</w:t>
      </w:r>
    </w:p>
    <w:p>
      <w:pPr>
        <w:ind w:firstLine="720"/>
      </w:pPr>
      <w:r>
        <w:rPr>
          <w:rFonts w:ascii="Times New Roman" w:hAnsi="Times New Roman"/>
          <w:sz w:val="24"/>
        </w:rPr>
        <w:t>La guía pide responder cuatro preguntas sobre la tabla de especificaciones:</w:t>
      </w:r>
    </w:p>
    <w:p>
      <w:pPr>
        <w:ind w:firstLine="720"/>
      </w:pPr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¿Los dominios representan la totalidad del constructo?</w:t>
      </w:r>
      <w:r>
        <w:rPr>
          <w:rFonts w:ascii="Times New Roman" w:hAnsi="Times New Roman"/>
          <w:sz w:val="24"/>
        </w:rPr>
        <w:t xml:space="preserve"> Cubren los componentes cognitivo y afectivo de la empatía, la orientación hacia el otro y la regulación emocional, que son los elementos centrales de los modelos de Davis (1983), Jolliffe y Farrington (2006) y Decety y Jackson (2004). Queda fuera la fantasía, por la razón expuesta en la revisión teórica. La representatividad deberá confirmarse con el juicio de expertos.</w:t>
      </w:r>
    </w:p>
    <w:p>
      <w:pPr>
        <w:ind w:firstLine="720"/>
      </w:pPr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¿Los indicadores son coherentes con su dimensión?</w:t>
      </w:r>
      <w:r>
        <w:rPr>
          <w:rFonts w:ascii="Times New Roman" w:hAnsi="Times New Roman"/>
          <w:sz w:val="24"/>
        </w:rPr>
        <w:t xml:space="preserve"> Cada indicador describe una conducta observable de la definición de su dimensión, ubicada en un contexto concreto. Por ejemplo, defender a un compañero acosado expresa preocupación empática, y Jolliffe y Farrington (2006) asociaron la disposición a ayudar a víctimas de acoso con mayor empatía.</w:t>
      </w:r>
    </w:p>
    <w:p>
      <w:pPr>
        <w:ind w:firstLine="720"/>
      </w:pPr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¿La cantidad de ítems permite evaluar cada dimensión?</w:t>
      </w:r>
      <w:r>
        <w:rPr>
          <w:rFonts w:ascii="Times New Roman" w:hAnsi="Times New Roman"/>
          <w:sz w:val="24"/>
        </w:rPr>
        <w:t xml:space="preserve"> Cada dimensión tiene 12 ítems y cada contexto 12, con igual peso para evitar la infrarrepresentación o sobrerrepresentación de una faceta (Muñiz y Fonseca-Pedrero, 2019). Con 3 ítems por cruce, las puntuaciones por contexto serán solo descriptivas, no escalas independientes.</w:t>
      </w:r>
    </w:p>
    <w:p>
      <w:pPr>
        <w:ind w:firstLine="720"/>
      </w:pPr>
      <w:r>
        <w:rPr>
          <w:rFonts w:ascii="Times New Roman" w:hAnsi="Times New Roman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¿Es una guía útil para construir los ítems?</w:t>
      </w:r>
      <w:r>
        <w:rPr>
          <w:rFonts w:ascii="Times New Roman" w:hAnsi="Times New Roman"/>
          <w:sz w:val="24"/>
        </w:rPr>
        <w:t xml:space="preserve"> Sí. Cada celda indica la dimensión, el contexto, la conducta que debe representar el ítem y cuántos ítems redactar, de modo que varios redactores podrían producir ítems comparables.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