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4"/>
        </w:rPr>
        <w:t>Objetivos</w:t>
      </w:r>
    </w:p>
    <w:p>
      <w:r>
        <w:rPr>
          <w:rFonts w:ascii="Times New Roman" w:hAnsi="Times New Roman"/>
          <w:b/>
          <w:sz w:val="24"/>
        </w:rPr>
        <w:t>Objetivo general</w:t>
      </w:r>
    </w:p>
    <w:p>
      <w:pPr>
        <w:ind w:firstLine="720"/>
      </w:pPr>
      <w:r>
        <w:rPr>
          <w:rFonts w:ascii="Times New Roman" w:hAnsi="Times New Roman"/>
          <w:sz w:val="24"/>
        </w:rPr>
        <w:t>Construir la Escala Situacional de Empatía para Adolescentes (ESEA) y obtener evidencias de validez y fiabilidad de sus puntuaciones en adolescentes colombianos escolarizados de 12 a 17 años.</w:t>
      </w:r>
    </w:p>
    <w:p>
      <w:r>
        <w:rPr>
          <w:rFonts w:ascii="Times New Roman" w:hAnsi="Times New Roman"/>
          <w:b/>
          <w:sz w:val="24"/>
        </w:rPr>
        <w:t>Objetivos específicos</w:t>
      </w:r>
    </w:p>
    <w:p>
      <w:pPr>
        <w:ind w:firstLine="720"/>
      </w:pPr>
      <w:r>
        <w:rPr>
          <w:rFonts w:ascii="Times New Roman" w:hAnsi="Times New Roman"/>
          <w:sz w:val="24"/>
        </w:rPr>
        <w:t>1. Definir operacionalmente la empatía y sus cuatro dimensiones (toma de perspectiva, resonancia afectiva, preocupación empática y regulación del malestar personal) a partir de la revisión teórica.</w:t>
      </w:r>
    </w:p>
    <w:p>
      <w:pPr>
        <w:ind w:firstLine="720"/>
      </w:pPr>
      <w:r>
        <w:rPr>
          <w:rFonts w:ascii="Times New Roman" w:hAnsi="Times New Roman"/>
          <w:sz w:val="24"/>
        </w:rPr>
        <w:t>2. Construir un banco de 96 ítems situacionales según la tabla de especificaciones y obtener evidencias de validez de contenido mediante juicio de expertos.</w:t>
      </w:r>
    </w:p>
    <w:p>
      <w:pPr>
        <w:ind w:firstLine="720"/>
      </w:pPr>
      <w:r>
        <w:rPr>
          <w:rFonts w:ascii="Times New Roman" w:hAnsi="Times New Roman"/>
          <w:sz w:val="24"/>
        </w:rPr>
        <w:t>3. Evaluar la comprensión y el funcionamiento de los ítems en estudios piloto para seleccionar los 48 ítems de la versión final.</w:t>
      </w:r>
    </w:p>
    <w:p>
      <w:pPr>
        <w:ind w:firstLine="720"/>
      </w:pPr>
      <w:r>
        <w:rPr>
          <w:rFonts w:ascii="Times New Roman" w:hAnsi="Times New Roman"/>
          <w:sz w:val="24"/>
        </w:rPr>
        <w:t>4. Obtener evidencias de validez de la estructura interna de cuatro factores y de su invarianza por sexo y grupo de edad.</w:t>
      </w:r>
    </w:p>
    <w:p>
      <w:pPr>
        <w:ind w:firstLine="720"/>
      </w:pPr>
      <w:r>
        <w:rPr>
          <w:rFonts w:ascii="Times New Roman" w:hAnsi="Times New Roman"/>
          <w:sz w:val="24"/>
        </w:rPr>
        <w:t>5. Estimar la fiabilidad de las puntuaciones de cada dimensión.</w:t>
      </w:r>
    </w:p>
    <w:p>
      <w:pPr>
        <w:ind w:firstLine="720"/>
      </w:pPr>
      <w:r>
        <w:rPr>
          <w:rFonts w:ascii="Times New Roman" w:hAnsi="Times New Roman"/>
          <w:sz w:val="24"/>
        </w:rPr>
        <w:t>6. Obtener evidencias de validez basadas en la relación con otras medidas de empatía y de conducta prosocial.</w:t>
      </w:r>
    </w:p>
    <w:p>
      <w:pPr>
        <w:ind w:firstLine="720"/>
      </w:pPr>
      <w:r>
        <w:rPr>
          <w:rFonts w:ascii="Times New Roman" w:hAnsi="Times New Roman"/>
          <w:sz w:val="24"/>
        </w:rPr>
        <w:t>7. Elaborar baremos por sexo y grupo de edad y el manual de aplicación de la prueba.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Participantes</w:t>
      </w:r>
    </w:p>
    <w:p>
      <w:pPr>
        <w:ind w:firstLine="720"/>
      </w:pPr>
      <w:r>
        <w:rPr>
          <w:rFonts w:ascii="Times New Roman" w:hAnsi="Times New Roman"/>
          <w:sz w:val="24"/>
        </w:rPr>
        <w:t>La población objetivo son adolescentes de 12 a 17 años matriculados en grados sexto a undécimo de colegios públicos y privados. Como ciudad de aplicación se propone Bogotá, sede de la Universidad EAN. Criterios de inclusión: tener entre 12 y 17 años, estar escolarizado, contar con el consentimiento del representante legal (Ley 1090 de 2006, art. 52) y dar su asentimiento. Criterios de exclusión: dificultades de lectura que impidan responder de forma autónoma, aunque estas personas podrían recibir una versión adaptada (Muñiz y Fonseca-Pedrero, 2019).</w:t>
      </w:r>
    </w:p>
    <w:p>
      <w:pPr>
        <w:ind w:firstLine="720"/>
      </w:pPr>
      <w:r>
        <w:rPr>
          <w:rFonts w:ascii="Times New Roman" w:hAnsi="Times New Roman"/>
          <w:sz w:val="24"/>
        </w:rPr>
        <w:t>El proyecto requiere cuatro grupos de participantes. Los tamaños son estimaciones del anteproyecto:</w:t>
      </w:r>
    </w:p>
    <w:p>
      <w:r>
        <w:rPr>
          <w:rFonts w:ascii="Times New Roman" w:hAnsi="Times New Roman"/>
          <w:b/>
          <w:sz w:val="24"/>
        </w:rPr>
        <w:t>Tabla 4</w:t>
      </w:r>
    </w:p>
    <w:p>
      <w:r>
        <w:rPr>
          <w:rFonts w:ascii="Times New Roman" w:hAnsi="Times New Roman"/>
          <w:i/>
          <w:sz w:val="24"/>
        </w:rPr>
        <w:t>Participantes previstos por estudio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single" w:sz="4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Estudio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Participantes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Tamaño estimado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Justificación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Juicio de expertos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Psicólogos con experiencia en psicometría, psicología del desarrollo u orientación escolar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7 jueces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Valoran claridad, coherencia, relevancia y suficiencia de cada ítem (Galicia et al., 2017)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Piloto cualitativo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Adolescentes de los cuatro grupos de sexo y edad, de colegios públicos y privados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24 (6 por grupo)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Detectar problemas de comprensión, como ocurrió en el piloto de 21 personas del LOT-R (Valdelamar-Jiménez y Sánchez-Pedraza, 2017)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Piloto cuantitativo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Adolescentes con las mismas características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500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Al menos 5 personas por cada uno de los 96 ítems (Muñiz y Fonseca-Pedrero, 2019)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Estudio de campo y baremación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Muestra probabilística por conglomerados (colegios), estratificada por tipo de colegio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1200 (300 por grupo de sexo y edad)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Más de 10 personas por cada uno de los 48 ítems y grupos suficientes para baremos separados (Muñiz y Fonseca-Pedrero, 2019)</w:t>
            </w:r>
          </w:p>
        </w:tc>
      </w:tr>
    </w:tbl>
    <w:p/>
    <w:p>
      <w:pPr>
        <w:ind w:firstLine="720"/>
      </w:pPr>
      <w:r>
        <w:rPr>
          <w:rFonts w:ascii="Times New Roman" w:hAnsi="Times New Roman"/>
          <w:sz w:val="24"/>
        </w:rPr>
        <w:t>Se espera una distribución equilibrada por sexo (50 % mujeres y 50 % hombres) y por grupo de edad (12 a 14 y 15 a 17 años). La proporción de colegios públicos y privados se fijará según la matrícula oficial de la ciudad. Además se registrarán el grado, el estrato socioeconómico y la composición familiar para describir la muestra.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Descripción del instrumento</w:t>
      </w:r>
    </w:p>
    <w:p>
      <w:pPr>
        <w:ind w:firstLine="720"/>
      </w:pPr>
      <w:r>
        <w:rPr>
          <w:rFonts w:ascii="Times New Roman" w:hAnsi="Times New Roman"/>
          <w:sz w:val="24"/>
        </w:rPr>
        <w:t>La ESEA tendrá 48 ítems en su versión final, distribuidos en cuatro dimensiones de 12 ítems y cuatro contextos de 12 ítems (tabla 2). Cada ítem presenta una situación breve y una afirmación sobre la propia reacción. Se responde en una escala tipo Likert de 5 puntos, sin ítems invertidos. Puede aplicarse de forma individual o colectiva, en papel o en formulario digital, en unos 20 a 25 minutos. Las características psicométricas esperadas son una estructura de cuatro factores relacionados, coeficientes de fiabilidad iguales o superiores a .70 por dimensión, invarianza por sexo y edad, y correlaciones positivas con otras medidas de empatía y de conducta prosocial. Todas estas características deberán comprobarse empíricamente.</w:t>
      </w:r>
    </w:p>
    <w:p>
      <w:pPr>
        <w:jc w:val="center"/>
      </w:pPr>
      <w:r>
        <w:rPr>
          <w:rFonts w:ascii="Times New Roman" w:hAnsi="Times New Roman"/>
          <w:b/>
          <w:sz w:val="24"/>
        </w:rPr>
        <w:t>Plan de trabajo</w:t>
      </w:r>
    </w:p>
    <w:p>
      <w:pPr>
        <w:ind w:firstLine="720"/>
      </w:pPr>
      <w:r>
        <w:rPr>
          <w:rFonts w:ascii="Times New Roman" w:hAnsi="Times New Roman"/>
          <w:sz w:val="24"/>
        </w:rPr>
        <w:t>El plan sigue las diez fases para la construcción de un test de Muñiz (2018) y Muñiz y Fonseca-Pedrero (2019). La figura 1 muestra el flujograma con las acciones de la ESEA en cada fase y el mes estimado. La tabla 5 compara cada fase con lo que hicieron Peña et al. (2019) al construir la EPCEP.</w:t>
      </w:r>
    </w:p>
    <w:p>
      <w:pPr>
        <w:ind w:firstLine="720"/>
      </w:pPr>
      <w:r>
        <w:rPr>
          <w:rFonts w:ascii="Times New Roman" w:hAnsi="Times New Roman"/>
          <w:sz w:val="24"/>
        </w:rPr>
        <w:t>Figura 1</w:t>
      </w:r>
    </w:p>
    <w:p>
      <w:r>
        <w:rPr>
          <w:rFonts w:ascii="Times New Roman" w:hAnsi="Times New Roman"/>
          <w:i/>
          <w:sz w:val="24"/>
        </w:rPr>
        <w:t>Flujograma de las diez fases de construcción de la ESEA</w:t>
      </w:r>
    </w:p>
    <w:p>
      <w:r>
        <w:drawing>
          <wp:inline xmlns:a="http://schemas.openxmlformats.org/drawingml/2006/main" xmlns:pic="http://schemas.openxmlformats.org/drawingml/2006/picture">
            <wp:extent cx="5120640" cy="48532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grama-ese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853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/>
      </w:pPr>
      <w:r>
        <w:rPr>
          <w:rFonts w:ascii="Times New Roman" w:hAnsi="Times New Roman"/>
          <w:i/>
          <w:sz w:val="20"/>
        </w:rPr>
        <w:t>Nota.</w:t>
      </w:r>
      <w:r>
        <w:rPr>
          <w:rFonts w:ascii="Times New Roman" w:hAnsi="Times New Roman"/>
          <w:sz w:val="20"/>
        </w:rPr>
        <w:t xml:space="preserve"> Las flechas de regreso indican que, si el piloto o el análisis psicométrico muestran ítems deficientes, se vuelve a la construcción de ítems y a la revisión de expertos, como recomiendan Muñiz y Fonseca-Pedrero (2019). Los meses son estimaciones.</w:t>
      </w:r>
    </w:p>
    <w:p/>
    <w:p>
      <w:r>
        <w:rPr>
          <w:rFonts w:ascii="Times New Roman" w:hAnsi="Times New Roman"/>
          <w:b/>
          <w:sz w:val="24"/>
        </w:rPr>
        <w:t>Tabla 5</w:t>
      </w:r>
    </w:p>
    <w:p>
      <w:r>
        <w:rPr>
          <w:rFonts w:ascii="Times New Roman" w:hAnsi="Times New Roman"/>
          <w:i/>
          <w:sz w:val="24"/>
        </w:rPr>
        <w:t>Paralelo entre las diez fases (Muñiz, 2018), la construcción de la EPCEP y el plan de la ESEA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/>
          <w:bottom w:val="single" w:sz="4" w:color="000000"/>
          <w:insideH w:val="single" w:sz="4" w:color="000000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Fase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EPCEP (Peña et al., 2019)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ESEA (este anteproyecto)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1. Marco general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Realizada.</w:t>
            </w:r>
            <w:r>
              <w:rPr>
                <w:rFonts w:ascii="Times New Roman" w:hAnsi="Times New Roman"/>
                <w:sz w:val="20"/>
              </w:rPr>
              <w:t xml:space="preserve"> Justifican el instrumento para describir perfiles de evaluación docente y diseñar programas de formación (p. 17)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Justificación por el vacío de pruebas situacionales construidas en Colombia; uso educativo, no clínico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2. Definición de la variable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Realizada.</w:t>
            </w:r>
            <w:r>
              <w:rPr>
                <w:rFonts w:ascii="Times New Roman" w:hAnsi="Times New Roman"/>
                <w:sz w:val="20"/>
              </w:rPr>
              <w:t xml:space="preserve"> Definición conceptual y operacional de concepciones y prácticas de evaluación (p. 18)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Definición de Decety y Jackson (2004), cuatro dimensiones y relaciones esperadas con la conducta prosocial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3. Especificaciones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Realizada.</w:t>
            </w:r>
            <w:r>
              <w:rPr>
                <w:rFonts w:ascii="Times New Roman" w:hAnsi="Times New Roman"/>
                <w:sz w:val="20"/>
              </w:rPr>
              <w:t xml:space="preserve"> Tabla de especificaciones con dimensiones, definiciones e indicadores; escala Likert de 1 a 5 (p. 18)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Ficha técnica y tabla 2 (4 dimensiones por 4 contextos); Likert de 5 puntos sin ítems negativos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4. Construcción de ítems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Realizada.</w:t>
            </w:r>
            <w:r>
              <w:rPr>
                <w:rFonts w:ascii="Times New Roman" w:hAnsi="Times New Roman"/>
                <w:sz w:val="20"/>
              </w:rPr>
              <w:t xml:space="preserve"> 56 ítems revisados por tres expertos con matriz de cotejo; quedan 53 (p. 18)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Banco de 96 ítems; siete jueces evalúan claridad, coherencia, relevancia y suficiencia; índice V de Aiken (Galicia et al., 2017)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5. Edición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Parcial.</w:t>
            </w:r>
            <w:r>
              <w:rPr>
                <w:rFonts w:ascii="Times New Roman" w:hAnsi="Times New Roman"/>
                <w:sz w:val="20"/>
              </w:rPr>
              <w:t xml:space="preserve"> Cuestionario en Limesurvey con el consentimiento al inicio (p. 19); no describen claves de corrección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Cuadernillo, hoja de respuestas, formulario digital, base de datos y reglas de puntuación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6. Estudios piloto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Parcial.</w:t>
            </w:r>
            <w:r>
              <w:rPr>
                <w:rFonts w:ascii="Times New Roman" w:hAnsi="Times New Roman"/>
                <w:sz w:val="20"/>
              </w:rPr>
              <w:t xml:space="preserve"> Llaman "piloto" a la aplicación de los 53 ítems, pero los análisis finales se hicieron con esa misma muestra (pp. 18-21); no reportan piloto cualitativo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Piloto cualitativo con 24 adolescentes (comprensión y tiempo) y cuantitativo con 500 (análisis de ítems; se eliminan cargas factoriales menores de .30)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7. Otros instrumentos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No realizada.</w:t>
            </w:r>
            <w:r>
              <w:rPr>
                <w:rFonts w:ascii="Times New Roman" w:hAnsi="Times New Roman"/>
                <w:sz w:val="20"/>
              </w:rPr>
              <w:t xml:space="preserve"> Solo un cuestionario sociodemográfico (p. 18); dejan la relación con otras medidas para el futuro (p. 24)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BES en su versión española (Villadangos et al., 2016) y una medida de conducta prosocial para la validez convergente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8. Aplicación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Realizada con limitaciones.</w:t>
            </w:r>
            <w:r>
              <w:rPr>
                <w:rFonts w:ascii="Times New Roman" w:hAnsi="Times New Roman"/>
                <w:sz w:val="20"/>
              </w:rPr>
              <w:t xml:space="preserve"> 237 profesores de una universidad, muestreo intencionado; aval ético (pp. 18-19)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1200 estudiantes, muestreo probabilístico por conglomerados; aplicadores entrenados e instrucciones estandarizadas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9. Propiedades psicométricas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Parcial.</w:t>
            </w:r>
            <w:r>
              <w:rPr>
                <w:rFonts w:ascii="Times New Roman" w:hAnsi="Times New Roman"/>
                <w:sz w:val="20"/>
              </w:rPr>
              <w:t xml:space="preserve"> AFE, AFC y alfas de .685 a .772 (pp. 20-22); sin baremos ni análisis de funcionamiento diferencial; el método de extracción difiere entre el procedimiento (p. 19) y los resultados (p. 20)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Análisis de ítems, AFE y AFC en submuestras distintas, alfa ordinal y omega, invarianza por sexo y edad, validez convergente y baremos en percentiles</w:t>
            </w:r>
          </w:p>
        </w:tc>
      </w:tr>
      <w:tr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10. Versión final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b/>
                <w:sz w:val="20"/>
              </w:rPr>
              <w:t>Parcial.</w:t>
            </w:r>
            <w:r>
              <w:rPr>
                <w:rFonts w:ascii="Times New Roman" w:hAnsi="Times New Roman"/>
                <w:sz w:val="20"/>
              </w:rPr>
              <w:t xml:space="preserve"> Versión de 16 ítems y 4 factores (pp. 21-22); sin manual; recomiendan seguir estudiando sus propiedades (p. 23)</w:t>
            </w:r>
          </w:p>
        </w:tc>
        <w:tc>
          <w:tcPr>
            <w:tcW w:type="dxa" w:w="3120"/>
          </w:tcPr>
          <w:p>
            <w:pPr>
              <w:spacing w:line="240" w:lineRule="auto"/>
            </w:pPr>
            <w:r>
              <w:rPr>
                <w:rFonts w:ascii="Times New Roman" w:hAnsi="Times New Roman"/>
                <w:sz w:val="20"/>
              </w:rPr>
              <w:t>Versión de 48 ítems, manual de aplicación, informe a los colegios y evaluación con el CET-R (Muñiz y Fonseca-Pedrero, 2019)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