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C050E" w14:textId="77777777" w:rsidR="004D058E" w:rsidRDefault="004D058E">
      <w:pPr>
        <w:pBdr>
          <w:bottom w:val="single" w:sz="18" w:space="1" w:color="5B2A86"/>
        </w:pBdr>
        <w:spacing w:before="160" w:after="160"/>
        <w:jc w:val="center"/>
      </w:pPr>
    </w:p>
    <w:p w14:paraId="623AA0DB" w14:textId="77777777" w:rsidR="004D058E" w:rsidRDefault="00AA4F1F">
      <w:pPr>
        <w:spacing w:after="80"/>
        <w:jc w:val="center"/>
      </w:pPr>
      <w:r>
        <w:rPr>
          <w:b/>
          <w:bCs/>
          <w:color w:val="1B3A5F"/>
          <w:spacing w:val="20"/>
          <w:sz w:val="30"/>
          <w:szCs w:val="30"/>
        </w:rPr>
        <w:t>UNIVERSIDAD TECNOLÓGICA METROPOLITANA</w:t>
      </w:r>
    </w:p>
    <w:p w14:paraId="7E39E94A" w14:textId="77777777" w:rsidR="004D058E" w:rsidRDefault="00AA4F1F">
      <w:pPr>
        <w:spacing w:after="40"/>
        <w:jc w:val="center"/>
      </w:pPr>
      <w:r>
        <w:rPr>
          <w:color w:val="5C7390"/>
          <w:sz w:val="23"/>
          <w:szCs w:val="23"/>
        </w:rPr>
        <w:t>Facultad de Ingeniería — Escuela de Informática y Computación</w:t>
      </w:r>
    </w:p>
    <w:p w14:paraId="0EB7C621" w14:textId="77777777" w:rsidR="004D058E" w:rsidRDefault="00AA4F1F">
      <w:pPr>
        <w:jc w:val="center"/>
      </w:pPr>
      <w:r>
        <w:rPr>
          <w:color w:val="5C7390"/>
          <w:sz w:val="23"/>
          <w:szCs w:val="23"/>
        </w:rPr>
        <w:t>Asignatura: Gestión de Proyectos Informáticos (GPI) · Caso de estudio PIA</w:t>
      </w:r>
    </w:p>
    <w:p w14:paraId="3B389869" w14:textId="77777777" w:rsidR="004D058E" w:rsidRDefault="004D058E">
      <w:pPr>
        <w:pBdr>
          <w:bottom w:val="single" w:sz="8" w:space="1" w:color="D7E0EA"/>
        </w:pBdr>
        <w:spacing w:before="160" w:after="160"/>
        <w:jc w:val="center"/>
      </w:pPr>
    </w:p>
    <w:p w14:paraId="053BC55F" w14:textId="77777777" w:rsidR="004D058E" w:rsidRDefault="00AA4F1F">
      <w:pPr>
        <w:spacing w:before="700" w:after="80"/>
        <w:jc w:val="center"/>
      </w:pPr>
      <w:r>
        <w:rPr>
          <w:b/>
          <w:bCs/>
          <w:color w:val="5B2A86"/>
          <w:spacing w:val="30"/>
          <w:sz w:val="30"/>
          <w:szCs w:val="30"/>
        </w:rPr>
        <w:t>INFORME ERV</w:t>
      </w:r>
    </w:p>
    <w:p w14:paraId="610F7D17" w14:textId="77777777" w:rsidR="004D058E" w:rsidRDefault="00AA4F1F">
      <w:pPr>
        <w:spacing w:after="160"/>
        <w:jc w:val="center"/>
      </w:pPr>
      <w:r>
        <w:rPr>
          <w:b/>
          <w:bCs/>
          <w:color w:val="1B3A5F"/>
          <w:sz w:val="34"/>
          <w:szCs w:val="34"/>
        </w:rPr>
        <w:t>Evaluación de Rentabilidad y Viabilidad Técnica y Económica</w:t>
      </w:r>
    </w:p>
    <w:p w14:paraId="2A3EC24F" w14:textId="77777777" w:rsidR="004D058E" w:rsidRDefault="00AA4F1F">
      <w:pPr>
        <w:spacing w:after="40"/>
        <w:jc w:val="center"/>
      </w:pPr>
      <w:r>
        <w:rPr>
          <w:color w:val="1B3A5F"/>
          <w:sz w:val="26"/>
          <w:szCs w:val="26"/>
        </w:rPr>
        <w:t>Integración del prototipo de inferencia causal multimodal Vox-Causal AI</w:t>
      </w:r>
    </w:p>
    <w:p w14:paraId="44B11A34" w14:textId="77777777" w:rsidR="004D058E" w:rsidRDefault="00AA4F1F">
      <w:pPr>
        <w:jc w:val="center"/>
      </w:pPr>
      <w:r>
        <w:rPr>
          <w:color w:val="1B3A5F"/>
          <w:sz w:val="26"/>
          <w:szCs w:val="26"/>
        </w:rPr>
        <w:t>en la plataforma corporativa de Alloxentric SpA</w:t>
      </w:r>
    </w:p>
    <w:p w14:paraId="59471DFF" w14:textId="77777777" w:rsidR="004D058E" w:rsidRDefault="004D058E">
      <w:pPr>
        <w:pBdr>
          <w:bottom w:val="single" w:sz="12" w:space="1" w:color="1B3A5F"/>
        </w:pBdr>
        <w:spacing w:before="160" w:after="160"/>
        <w:jc w:val="center"/>
      </w:pPr>
    </w:p>
    <w:p w14:paraId="1856A910" w14:textId="77777777" w:rsidR="004D058E" w:rsidRDefault="00AA4F1F">
      <w:pPr>
        <w:spacing w:before="500" w:after="100"/>
        <w:jc w:val="center"/>
      </w:pPr>
      <w:r>
        <w:rPr>
          <w:sz w:val="24"/>
          <w:szCs w:val="24"/>
        </w:rPr>
        <w:t>Cliente corporativo: Alloxentric SpA (Londres, Reino Unido)</w:t>
      </w:r>
    </w:p>
    <w:p w14:paraId="4FA09417" w14:textId="77777777" w:rsidR="004D058E" w:rsidRDefault="00AA4F1F">
      <w:pPr>
        <w:spacing w:after="100"/>
        <w:jc w:val="center"/>
      </w:pPr>
      <w:r>
        <w:rPr>
          <w:sz w:val="24"/>
          <w:szCs w:val="24"/>
        </w:rPr>
        <w:t>Sección 411 — G</w:t>
      </w:r>
      <w:r>
        <w:rPr>
          <w:sz w:val="24"/>
          <w:szCs w:val="24"/>
        </w:rPr>
        <w:t>rupo N.º 1</w:t>
      </w:r>
    </w:p>
    <w:p w14:paraId="5E5E28EB" w14:textId="77777777" w:rsidR="004D058E" w:rsidRDefault="00AA4F1F">
      <w:pPr>
        <w:jc w:val="center"/>
      </w:pPr>
      <w:r>
        <w:rPr>
          <w:sz w:val="24"/>
          <w:szCs w:val="24"/>
        </w:rPr>
        <w:t>Docente: Dr. Oscar Eduardo Magna Veloso</w:t>
      </w:r>
    </w:p>
    <w:p w14:paraId="5D54B528" w14:textId="77777777" w:rsidR="004D058E" w:rsidRDefault="00AA4F1F">
      <w:pPr>
        <w:spacing w:before="500" w:after="140"/>
        <w:jc w:val="center"/>
      </w:pPr>
      <w:r>
        <w:rPr>
          <w:b/>
          <w:bCs/>
          <w:color w:val="1B3A5F"/>
          <w:spacing w:val="30"/>
          <w:sz w:val="23"/>
          <w:szCs w:val="23"/>
        </w:rPr>
        <w:t>INTEGRANTES</w:t>
      </w:r>
    </w:p>
    <w:p w14:paraId="15B6AE0E" w14:textId="77777777" w:rsidR="004D058E" w:rsidRDefault="00AA4F1F">
      <w:pPr>
        <w:spacing w:after="70"/>
        <w:jc w:val="center"/>
      </w:pPr>
      <w:r>
        <w:rPr>
          <w:sz w:val="24"/>
          <w:szCs w:val="24"/>
        </w:rPr>
        <w:t>Ignacio Ortega</w:t>
      </w:r>
    </w:p>
    <w:p w14:paraId="1C3FFF7E" w14:textId="77777777" w:rsidR="004D058E" w:rsidRDefault="00AA4F1F">
      <w:pPr>
        <w:spacing w:after="70"/>
        <w:jc w:val="center"/>
      </w:pPr>
      <w:r>
        <w:rPr>
          <w:sz w:val="24"/>
          <w:szCs w:val="24"/>
        </w:rPr>
        <w:t>Joaquín Apablaza</w:t>
      </w:r>
    </w:p>
    <w:p w14:paraId="5E394549" w14:textId="77777777" w:rsidR="004D058E" w:rsidRDefault="00AA4F1F">
      <w:pPr>
        <w:spacing w:after="70"/>
        <w:jc w:val="center"/>
      </w:pPr>
      <w:r>
        <w:rPr>
          <w:sz w:val="24"/>
          <w:szCs w:val="24"/>
        </w:rPr>
        <w:t>Camilo Moya</w:t>
      </w:r>
    </w:p>
    <w:p w14:paraId="5623EA6B" w14:textId="77777777" w:rsidR="004D058E" w:rsidRDefault="00AA4F1F">
      <w:pPr>
        <w:spacing w:after="70"/>
        <w:jc w:val="center"/>
      </w:pPr>
      <w:r>
        <w:rPr>
          <w:sz w:val="24"/>
          <w:szCs w:val="24"/>
        </w:rPr>
        <w:t>Lucas Mora</w:t>
      </w:r>
    </w:p>
    <w:p w14:paraId="3AE4F01A" w14:textId="77777777" w:rsidR="004D058E" w:rsidRDefault="00AA4F1F">
      <w:pPr>
        <w:spacing w:before="80"/>
        <w:jc w:val="center"/>
      </w:pPr>
      <w:r>
        <w:rPr>
          <w:color w:val="5C7390"/>
          <w:sz w:val="19"/>
          <w:szCs w:val="19"/>
        </w:rPr>
        <w:t>Roles RACI rotativos según la matriz propuesta del capítulo 8</w:t>
      </w:r>
    </w:p>
    <w:p w14:paraId="7BDBD821" w14:textId="77777777" w:rsidR="004D058E" w:rsidRDefault="004D058E">
      <w:pPr>
        <w:pBdr>
          <w:bottom w:val="single" w:sz="8" w:space="1" w:color="D7E0EA"/>
        </w:pBdr>
        <w:spacing w:before="160" w:after="160"/>
        <w:jc w:val="center"/>
      </w:pPr>
    </w:p>
    <w:p w14:paraId="3BFF5D27" w14:textId="77777777" w:rsidR="004D058E" w:rsidRDefault="00AA4F1F">
      <w:pPr>
        <w:spacing w:before="200"/>
        <w:jc w:val="center"/>
        <w:sectPr w:rsidR="004D058E">
          <w:pgSz w:w="11906" w:h="16838"/>
          <w:pgMar w:top="1134" w:right="1247" w:bottom="1134" w:left="1247" w:header="560" w:footer="560" w:gutter="0"/>
          <w:cols w:space="720"/>
          <w:docGrid w:linePitch="360"/>
        </w:sectPr>
      </w:pPr>
      <w:r>
        <w:rPr>
          <w:b/>
          <w:bCs/>
        </w:rPr>
        <w:t>Fecha de entrega: 28 de octubre de 2026 · Exposición: 29 de octubre de 2026</w:t>
      </w:r>
    </w:p>
    <w:p w14:paraId="4EA5820D" w14:textId="77777777" w:rsidR="004D058E" w:rsidRDefault="00AA4F1F">
      <w:pPr>
        <w:spacing w:after="160"/>
      </w:pPr>
      <w:r>
        <w:rPr>
          <w:b/>
          <w:bCs/>
          <w:color w:val="1B3A5F"/>
          <w:sz w:val="30"/>
          <w:szCs w:val="30"/>
        </w:rPr>
        <w:lastRenderedPageBreak/>
        <w:t>Índice</w:t>
      </w:r>
    </w:p>
    <w:sdt>
      <w:sdtPr>
        <w:alias w:val="Índice"/>
        <w:id w:val="1132058775"/>
        <w:docPartObj>
          <w:docPartGallery w:val="Table of Contents"/>
          <w:docPartUnique/>
        </w:docPartObj>
      </w:sdtPr>
      <w:sdtEndPr/>
      <w:sdtContent>
        <w:p w14:paraId="49E30A7C" w14:textId="1C8B7893" w:rsidR="00AA4F1F" w:rsidRDefault="00AA4F1F">
          <w:pPr>
            <w:pStyle w:val="TDC1"/>
            <w:tabs>
              <w:tab w:val="right" w:leader="dot" w:pos="9402"/>
            </w:tabs>
            <w:rPr>
              <w:rFonts w:asciiTheme="minorHAnsi" w:eastAsiaTheme="minorEastAsia" w:hAnsiTheme="minorHAnsi" w:cstheme="minorBidi"/>
              <w:noProof/>
            </w:rPr>
          </w:pPr>
          <w:r>
            <w:fldChar w:fldCharType="begin"/>
          </w:r>
          <w:r>
            <w:instrText>TOC \h \o "1-2"</w:instrText>
          </w:r>
          <w:r>
            <w:fldChar w:fldCharType="separate"/>
          </w:r>
          <w:hyperlink w:anchor="_Toc244016969" w:history="1">
            <w:r w:rsidRPr="0071259A">
              <w:rPr>
                <w:rStyle w:val="Hipervnculo"/>
                <w:noProof/>
              </w:rPr>
              <w:t>1. Resumen ejecutivo y dictamen</w:t>
            </w:r>
            <w:r>
              <w:rPr>
                <w:noProof/>
              </w:rPr>
              <w:tab/>
            </w:r>
            <w:r>
              <w:rPr>
                <w:noProof/>
              </w:rPr>
              <w:fldChar w:fldCharType="begin"/>
            </w:r>
            <w:r>
              <w:rPr>
                <w:noProof/>
              </w:rPr>
              <w:instrText xml:space="preserve"> PAGEREF _Toc244016969 \h </w:instrText>
            </w:r>
            <w:r>
              <w:rPr>
                <w:noProof/>
              </w:rPr>
            </w:r>
            <w:r>
              <w:rPr>
                <w:noProof/>
              </w:rPr>
              <w:fldChar w:fldCharType="separate"/>
            </w:r>
            <w:r>
              <w:rPr>
                <w:noProof/>
              </w:rPr>
              <w:t>3</w:t>
            </w:r>
            <w:r>
              <w:rPr>
                <w:noProof/>
              </w:rPr>
              <w:fldChar w:fldCharType="end"/>
            </w:r>
          </w:hyperlink>
        </w:p>
        <w:p w14:paraId="26161934" w14:textId="3BA81F68" w:rsidR="00AA4F1F" w:rsidRDefault="00AA4F1F">
          <w:pPr>
            <w:pStyle w:val="TDC1"/>
            <w:tabs>
              <w:tab w:val="right" w:leader="dot" w:pos="9402"/>
            </w:tabs>
            <w:rPr>
              <w:rFonts w:asciiTheme="minorHAnsi" w:eastAsiaTheme="minorEastAsia" w:hAnsiTheme="minorHAnsi" w:cstheme="minorBidi"/>
              <w:noProof/>
            </w:rPr>
          </w:pPr>
          <w:hyperlink w:anchor="_Toc244016970" w:history="1">
            <w:r w:rsidRPr="0071259A">
              <w:rPr>
                <w:rStyle w:val="Hipervnculo"/>
                <w:noProof/>
              </w:rPr>
              <w:t>2. Contexto, problema y alcance</w:t>
            </w:r>
            <w:r>
              <w:rPr>
                <w:noProof/>
              </w:rPr>
              <w:tab/>
            </w:r>
            <w:r>
              <w:rPr>
                <w:noProof/>
              </w:rPr>
              <w:fldChar w:fldCharType="begin"/>
            </w:r>
            <w:r>
              <w:rPr>
                <w:noProof/>
              </w:rPr>
              <w:instrText xml:space="preserve"> PAGEREF _Toc244016970 \h </w:instrText>
            </w:r>
            <w:r>
              <w:rPr>
                <w:noProof/>
              </w:rPr>
            </w:r>
            <w:r>
              <w:rPr>
                <w:noProof/>
              </w:rPr>
              <w:fldChar w:fldCharType="separate"/>
            </w:r>
            <w:r>
              <w:rPr>
                <w:noProof/>
              </w:rPr>
              <w:t>4</w:t>
            </w:r>
            <w:r>
              <w:rPr>
                <w:noProof/>
              </w:rPr>
              <w:fldChar w:fldCharType="end"/>
            </w:r>
          </w:hyperlink>
        </w:p>
        <w:p w14:paraId="38D1B7C8" w14:textId="3AFD4B60" w:rsidR="00AA4F1F" w:rsidRDefault="00AA4F1F">
          <w:pPr>
            <w:pStyle w:val="TDC1"/>
            <w:tabs>
              <w:tab w:val="right" w:leader="dot" w:pos="9402"/>
            </w:tabs>
            <w:rPr>
              <w:rFonts w:asciiTheme="minorHAnsi" w:eastAsiaTheme="minorEastAsia" w:hAnsiTheme="minorHAnsi" w:cstheme="minorBidi"/>
              <w:noProof/>
            </w:rPr>
          </w:pPr>
          <w:hyperlink w:anchor="_Toc244016971" w:history="1">
            <w:r w:rsidRPr="0071259A">
              <w:rPr>
                <w:rStyle w:val="Hipervnculo"/>
                <w:noProof/>
              </w:rPr>
              <w:t>3. Arquitectura actual e integración propuesta</w:t>
            </w:r>
            <w:r>
              <w:rPr>
                <w:noProof/>
              </w:rPr>
              <w:tab/>
            </w:r>
            <w:r>
              <w:rPr>
                <w:noProof/>
              </w:rPr>
              <w:fldChar w:fldCharType="begin"/>
            </w:r>
            <w:r>
              <w:rPr>
                <w:noProof/>
              </w:rPr>
              <w:instrText xml:space="preserve"> PAGEREF _Toc244016971 \h </w:instrText>
            </w:r>
            <w:r>
              <w:rPr>
                <w:noProof/>
              </w:rPr>
            </w:r>
            <w:r>
              <w:rPr>
                <w:noProof/>
              </w:rPr>
              <w:fldChar w:fldCharType="separate"/>
            </w:r>
            <w:r>
              <w:rPr>
                <w:noProof/>
              </w:rPr>
              <w:t>5</w:t>
            </w:r>
            <w:r>
              <w:rPr>
                <w:noProof/>
              </w:rPr>
              <w:fldChar w:fldCharType="end"/>
            </w:r>
          </w:hyperlink>
        </w:p>
        <w:p w14:paraId="60844FF7" w14:textId="3CFBD7FF" w:rsidR="00AA4F1F" w:rsidRDefault="00AA4F1F">
          <w:pPr>
            <w:pStyle w:val="TDC1"/>
            <w:tabs>
              <w:tab w:val="right" w:leader="dot" w:pos="9402"/>
            </w:tabs>
            <w:rPr>
              <w:rFonts w:asciiTheme="minorHAnsi" w:eastAsiaTheme="minorEastAsia" w:hAnsiTheme="minorHAnsi" w:cstheme="minorBidi"/>
              <w:noProof/>
            </w:rPr>
          </w:pPr>
          <w:hyperlink w:anchor="_Toc244016972" w:history="1">
            <w:r w:rsidRPr="0071259A">
              <w:rPr>
                <w:rStyle w:val="Hipervnculo"/>
                <w:noProof/>
              </w:rPr>
              <w:t>4. Pipeline MLOps e incidente de latencia y aislamiento</w:t>
            </w:r>
            <w:r>
              <w:rPr>
                <w:noProof/>
              </w:rPr>
              <w:tab/>
            </w:r>
            <w:r>
              <w:rPr>
                <w:noProof/>
              </w:rPr>
              <w:fldChar w:fldCharType="begin"/>
            </w:r>
            <w:r>
              <w:rPr>
                <w:noProof/>
              </w:rPr>
              <w:instrText xml:space="preserve"> PAGEREF _Toc244016972 \h </w:instrText>
            </w:r>
            <w:r>
              <w:rPr>
                <w:noProof/>
              </w:rPr>
            </w:r>
            <w:r>
              <w:rPr>
                <w:noProof/>
              </w:rPr>
              <w:fldChar w:fldCharType="separate"/>
            </w:r>
            <w:r>
              <w:rPr>
                <w:noProof/>
              </w:rPr>
              <w:t>8</w:t>
            </w:r>
            <w:r>
              <w:rPr>
                <w:noProof/>
              </w:rPr>
              <w:fldChar w:fldCharType="end"/>
            </w:r>
          </w:hyperlink>
        </w:p>
        <w:p w14:paraId="4EFCAE8A" w14:textId="0FD96430" w:rsidR="00AA4F1F" w:rsidRDefault="00AA4F1F">
          <w:pPr>
            <w:pStyle w:val="TDC2"/>
            <w:tabs>
              <w:tab w:val="right" w:leader="dot" w:pos="9402"/>
            </w:tabs>
            <w:rPr>
              <w:rFonts w:asciiTheme="minorHAnsi" w:eastAsiaTheme="minorEastAsia" w:hAnsiTheme="minorHAnsi" w:cstheme="minorBidi"/>
              <w:noProof/>
            </w:rPr>
          </w:pPr>
          <w:hyperlink w:anchor="_Toc244016973" w:history="1">
            <w:r w:rsidRPr="0071259A">
              <w:rPr>
                <w:rStyle w:val="Hipervnculo"/>
                <w:noProof/>
              </w:rPr>
              <w:t>4.1 Resolución del incidente (R1 y R2)</w:t>
            </w:r>
            <w:r>
              <w:rPr>
                <w:noProof/>
              </w:rPr>
              <w:tab/>
            </w:r>
            <w:r>
              <w:rPr>
                <w:noProof/>
              </w:rPr>
              <w:fldChar w:fldCharType="begin"/>
            </w:r>
            <w:r>
              <w:rPr>
                <w:noProof/>
              </w:rPr>
              <w:instrText xml:space="preserve"> PAGEREF _Toc244016973 \h </w:instrText>
            </w:r>
            <w:r>
              <w:rPr>
                <w:noProof/>
              </w:rPr>
            </w:r>
            <w:r>
              <w:rPr>
                <w:noProof/>
              </w:rPr>
              <w:fldChar w:fldCharType="separate"/>
            </w:r>
            <w:r>
              <w:rPr>
                <w:noProof/>
              </w:rPr>
              <w:t>8</w:t>
            </w:r>
            <w:r>
              <w:rPr>
                <w:noProof/>
              </w:rPr>
              <w:fldChar w:fldCharType="end"/>
            </w:r>
          </w:hyperlink>
        </w:p>
        <w:p w14:paraId="4EC0CEFB" w14:textId="29075EAC" w:rsidR="00AA4F1F" w:rsidRDefault="00AA4F1F">
          <w:pPr>
            <w:pStyle w:val="TDC1"/>
            <w:tabs>
              <w:tab w:val="right" w:leader="dot" w:pos="9402"/>
            </w:tabs>
            <w:rPr>
              <w:rFonts w:asciiTheme="minorHAnsi" w:eastAsiaTheme="minorEastAsia" w:hAnsiTheme="minorHAnsi" w:cstheme="minorBidi"/>
              <w:noProof/>
            </w:rPr>
          </w:pPr>
          <w:hyperlink w:anchor="_Toc244016974" w:history="1">
            <w:r w:rsidRPr="0071259A">
              <w:rPr>
                <w:rStyle w:val="Hipervnculo"/>
                <w:noProof/>
              </w:rPr>
              <w:t>5. Calidad técnica: evidencia reproducida y documentada</w:t>
            </w:r>
            <w:r>
              <w:rPr>
                <w:noProof/>
              </w:rPr>
              <w:tab/>
            </w:r>
            <w:r>
              <w:rPr>
                <w:noProof/>
              </w:rPr>
              <w:fldChar w:fldCharType="begin"/>
            </w:r>
            <w:r>
              <w:rPr>
                <w:noProof/>
              </w:rPr>
              <w:instrText xml:space="preserve"> PAGEREF _Toc244016974 \h </w:instrText>
            </w:r>
            <w:r>
              <w:rPr>
                <w:noProof/>
              </w:rPr>
            </w:r>
            <w:r>
              <w:rPr>
                <w:noProof/>
              </w:rPr>
              <w:fldChar w:fldCharType="separate"/>
            </w:r>
            <w:r>
              <w:rPr>
                <w:noProof/>
              </w:rPr>
              <w:t>9</w:t>
            </w:r>
            <w:r>
              <w:rPr>
                <w:noProof/>
              </w:rPr>
              <w:fldChar w:fldCharType="end"/>
            </w:r>
          </w:hyperlink>
        </w:p>
        <w:p w14:paraId="55D14DC5" w14:textId="4C675A1F" w:rsidR="00AA4F1F" w:rsidRDefault="00AA4F1F">
          <w:pPr>
            <w:pStyle w:val="TDC1"/>
            <w:tabs>
              <w:tab w:val="right" w:leader="dot" w:pos="9402"/>
            </w:tabs>
            <w:rPr>
              <w:rFonts w:asciiTheme="minorHAnsi" w:eastAsiaTheme="minorEastAsia" w:hAnsiTheme="minorHAnsi" w:cstheme="minorBidi"/>
              <w:noProof/>
            </w:rPr>
          </w:pPr>
          <w:hyperlink w:anchor="_Toc244016975" w:history="1">
            <w:r w:rsidRPr="0071259A">
              <w:rPr>
                <w:rStyle w:val="Hipervnculo"/>
                <w:noProof/>
              </w:rPr>
              <w:t>6. Evaluación económica</w:t>
            </w:r>
            <w:r>
              <w:rPr>
                <w:noProof/>
              </w:rPr>
              <w:tab/>
            </w:r>
            <w:r>
              <w:rPr>
                <w:noProof/>
              </w:rPr>
              <w:fldChar w:fldCharType="begin"/>
            </w:r>
            <w:r>
              <w:rPr>
                <w:noProof/>
              </w:rPr>
              <w:instrText xml:space="preserve"> PAGEREF _Toc244016975 \h </w:instrText>
            </w:r>
            <w:r>
              <w:rPr>
                <w:noProof/>
              </w:rPr>
            </w:r>
            <w:r>
              <w:rPr>
                <w:noProof/>
              </w:rPr>
              <w:fldChar w:fldCharType="separate"/>
            </w:r>
            <w:r>
              <w:rPr>
                <w:noProof/>
              </w:rPr>
              <w:t>10</w:t>
            </w:r>
            <w:r>
              <w:rPr>
                <w:noProof/>
              </w:rPr>
              <w:fldChar w:fldCharType="end"/>
            </w:r>
          </w:hyperlink>
        </w:p>
        <w:p w14:paraId="59A16F8F" w14:textId="202CBE82" w:rsidR="00AA4F1F" w:rsidRDefault="00AA4F1F">
          <w:pPr>
            <w:pStyle w:val="TDC2"/>
            <w:tabs>
              <w:tab w:val="right" w:leader="dot" w:pos="9402"/>
            </w:tabs>
            <w:rPr>
              <w:rFonts w:asciiTheme="minorHAnsi" w:eastAsiaTheme="minorEastAsia" w:hAnsiTheme="minorHAnsi" w:cstheme="minorBidi"/>
              <w:noProof/>
            </w:rPr>
          </w:pPr>
          <w:hyperlink w:anchor="_Toc244016976" w:history="1">
            <w:r w:rsidRPr="0071259A">
              <w:rPr>
                <w:rStyle w:val="Hipervnculo"/>
                <w:noProof/>
              </w:rPr>
              <w:t>6.1 CAPEX y OPEX</w:t>
            </w:r>
            <w:r>
              <w:rPr>
                <w:noProof/>
              </w:rPr>
              <w:tab/>
            </w:r>
            <w:r>
              <w:rPr>
                <w:noProof/>
              </w:rPr>
              <w:fldChar w:fldCharType="begin"/>
            </w:r>
            <w:r>
              <w:rPr>
                <w:noProof/>
              </w:rPr>
              <w:instrText xml:space="preserve"> PAGEREF _Toc244016976 \h </w:instrText>
            </w:r>
            <w:r>
              <w:rPr>
                <w:noProof/>
              </w:rPr>
            </w:r>
            <w:r>
              <w:rPr>
                <w:noProof/>
              </w:rPr>
              <w:fldChar w:fldCharType="separate"/>
            </w:r>
            <w:r>
              <w:rPr>
                <w:noProof/>
              </w:rPr>
              <w:t>10</w:t>
            </w:r>
            <w:r>
              <w:rPr>
                <w:noProof/>
              </w:rPr>
              <w:fldChar w:fldCharType="end"/>
            </w:r>
          </w:hyperlink>
        </w:p>
        <w:p w14:paraId="2141977E" w14:textId="389355B3" w:rsidR="00AA4F1F" w:rsidRDefault="00AA4F1F">
          <w:pPr>
            <w:pStyle w:val="TDC2"/>
            <w:tabs>
              <w:tab w:val="right" w:leader="dot" w:pos="9402"/>
            </w:tabs>
            <w:rPr>
              <w:rFonts w:asciiTheme="minorHAnsi" w:eastAsiaTheme="minorEastAsia" w:hAnsiTheme="minorHAnsi" w:cstheme="minorBidi"/>
              <w:noProof/>
            </w:rPr>
          </w:pPr>
          <w:hyperlink w:anchor="_Toc244016977" w:history="1">
            <w:r w:rsidRPr="0071259A">
              <w:rPr>
                <w:rStyle w:val="Hipervnculo"/>
                <w:noProof/>
              </w:rPr>
              <w:t>6.2 Beneficios e indicadores</w:t>
            </w:r>
            <w:r>
              <w:rPr>
                <w:noProof/>
              </w:rPr>
              <w:tab/>
            </w:r>
            <w:r>
              <w:rPr>
                <w:noProof/>
              </w:rPr>
              <w:fldChar w:fldCharType="begin"/>
            </w:r>
            <w:r>
              <w:rPr>
                <w:noProof/>
              </w:rPr>
              <w:instrText xml:space="preserve"> PAGEREF _Toc244016977 \h </w:instrText>
            </w:r>
            <w:r>
              <w:rPr>
                <w:noProof/>
              </w:rPr>
            </w:r>
            <w:r>
              <w:rPr>
                <w:noProof/>
              </w:rPr>
              <w:fldChar w:fldCharType="separate"/>
            </w:r>
            <w:r>
              <w:rPr>
                <w:noProof/>
              </w:rPr>
              <w:t>10</w:t>
            </w:r>
            <w:r>
              <w:rPr>
                <w:noProof/>
              </w:rPr>
              <w:fldChar w:fldCharType="end"/>
            </w:r>
          </w:hyperlink>
        </w:p>
        <w:p w14:paraId="6C5D8EBE" w14:textId="28631E3F" w:rsidR="00AA4F1F" w:rsidRDefault="00AA4F1F">
          <w:pPr>
            <w:pStyle w:val="TDC1"/>
            <w:tabs>
              <w:tab w:val="right" w:leader="dot" w:pos="9402"/>
            </w:tabs>
            <w:rPr>
              <w:rFonts w:asciiTheme="minorHAnsi" w:eastAsiaTheme="minorEastAsia" w:hAnsiTheme="minorHAnsi" w:cstheme="minorBidi"/>
              <w:noProof/>
            </w:rPr>
          </w:pPr>
          <w:hyperlink w:anchor="_Toc244016978" w:history="1">
            <w:r w:rsidRPr="0071259A">
              <w:rPr>
                <w:rStyle w:val="Hipervnculo"/>
                <w:noProof/>
              </w:rPr>
              <w:t>7. Sensibilidad, escenarios y riesgos</w:t>
            </w:r>
            <w:r>
              <w:rPr>
                <w:noProof/>
              </w:rPr>
              <w:tab/>
            </w:r>
            <w:r>
              <w:rPr>
                <w:noProof/>
              </w:rPr>
              <w:fldChar w:fldCharType="begin"/>
            </w:r>
            <w:r>
              <w:rPr>
                <w:noProof/>
              </w:rPr>
              <w:instrText xml:space="preserve"> PAGEREF _Toc244016978 \h </w:instrText>
            </w:r>
            <w:r>
              <w:rPr>
                <w:noProof/>
              </w:rPr>
            </w:r>
            <w:r>
              <w:rPr>
                <w:noProof/>
              </w:rPr>
              <w:fldChar w:fldCharType="separate"/>
            </w:r>
            <w:r>
              <w:rPr>
                <w:noProof/>
              </w:rPr>
              <w:t>12</w:t>
            </w:r>
            <w:r>
              <w:rPr>
                <w:noProof/>
              </w:rPr>
              <w:fldChar w:fldCharType="end"/>
            </w:r>
          </w:hyperlink>
        </w:p>
        <w:p w14:paraId="5C3A0449" w14:textId="0FA2B5AB" w:rsidR="00AA4F1F" w:rsidRDefault="00AA4F1F">
          <w:pPr>
            <w:pStyle w:val="TDC1"/>
            <w:tabs>
              <w:tab w:val="right" w:leader="dot" w:pos="9402"/>
            </w:tabs>
            <w:rPr>
              <w:rFonts w:asciiTheme="minorHAnsi" w:eastAsiaTheme="minorEastAsia" w:hAnsiTheme="minorHAnsi" w:cstheme="minorBidi"/>
              <w:noProof/>
            </w:rPr>
          </w:pPr>
          <w:hyperlink w:anchor="_Toc244016979" w:history="1">
            <w:r w:rsidRPr="0071259A">
              <w:rPr>
                <w:rStyle w:val="Hipervnculo"/>
                <w:noProof/>
              </w:rPr>
              <w:t>8. Plan de integración, gestión del proyecto y conclusiones</w:t>
            </w:r>
            <w:r>
              <w:rPr>
                <w:noProof/>
              </w:rPr>
              <w:tab/>
            </w:r>
            <w:r>
              <w:rPr>
                <w:noProof/>
              </w:rPr>
              <w:fldChar w:fldCharType="begin"/>
            </w:r>
            <w:r>
              <w:rPr>
                <w:noProof/>
              </w:rPr>
              <w:instrText xml:space="preserve"> PAGEREF _Toc244016979 \h </w:instrText>
            </w:r>
            <w:r>
              <w:rPr>
                <w:noProof/>
              </w:rPr>
            </w:r>
            <w:r>
              <w:rPr>
                <w:noProof/>
              </w:rPr>
              <w:fldChar w:fldCharType="separate"/>
            </w:r>
            <w:r>
              <w:rPr>
                <w:noProof/>
              </w:rPr>
              <w:t>13</w:t>
            </w:r>
            <w:r>
              <w:rPr>
                <w:noProof/>
              </w:rPr>
              <w:fldChar w:fldCharType="end"/>
            </w:r>
          </w:hyperlink>
        </w:p>
        <w:p w14:paraId="38C348B3" w14:textId="4D97A613" w:rsidR="00AA4F1F" w:rsidRDefault="00AA4F1F">
          <w:pPr>
            <w:pStyle w:val="TDC2"/>
            <w:tabs>
              <w:tab w:val="right" w:leader="dot" w:pos="9402"/>
            </w:tabs>
            <w:rPr>
              <w:rFonts w:asciiTheme="minorHAnsi" w:eastAsiaTheme="minorEastAsia" w:hAnsiTheme="minorHAnsi" w:cstheme="minorBidi"/>
              <w:noProof/>
            </w:rPr>
          </w:pPr>
          <w:hyperlink w:anchor="_Toc244016980" w:history="1">
            <w:r w:rsidRPr="0071259A">
              <w:rPr>
                <w:rStyle w:val="Hipervnculo"/>
                <w:noProof/>
              </w:rPr>
              <w:t>8.1 Gestión y control del proyecto de integración (EVM)</w:t>
            </w:r>
            <w:r>
              <w:rPr>
                <w:noProof/>
              </w:rPr>
              <w:tab/>
            </w:r>
            <w:r>
              <w:rPr>
                <w:noProof/>
              </w:rPr>
              <w:fldChar w:fldCharType="begin"/>
            </w:r>
            <w:r>
              <w:rPr>
                <w:noProof/>
              </w:rPr>
              <w:instrText xml:space="preserve"> PAGEREF _Toc244016980 \h </w:instrText>
            </w:r>
            <w:r>
              <w:rPr>
                <w:noProof/>
              </w:rPr>
            </w:r>
            <w:r>
              <w:rPr>
                <w:noProof/>
              </w:rPr>
              <w:fldChar w:fldCharType="separate"/>
            </w:r>
            <w:r>
              <w:rPr>
                <w:noProof/>
              </w:rPr>
              <w:t>13</w:t>
            </w:r>
            <w:r>
              <w:rPr>
                <w:noProof/>
              </w:rPr>
              <w:fldChar w:fldCharType="end"/>
            </w:r>
          </w:hyperlink>
        </w:p>
        <w:p w14:paraId="36C8CF3F" w14:textId="3B7F01D6" w:rsidR="00AA4F1F" w:rsidRDefault="00AA4F1F">
          <w:pPr>
            <w:pStyle w:val="TDC2"/>
            <w:tabs>
              <w:tab w:val="right" w:leader="dot" w:pos="9402"/>
            </w:tabs>
            <w:rPr>
              <w:rFonts w:asciiTheme="minorHAnsi" w:eastAsiaTheme="minorEastAsia" w:hAnsiTheme="minorHAnsi" w:cstheme="minorBidi"/>
              <w:noProof/>
            </w:rPr>
          </w:pPr>
          <w:hyperlink w:anchor="_Toc244016981" w:history="1">
            <w:r w:rsidRPr="0071259A">
              <w:rPr>
                <w:rStyle w:val="Hipervnculo"/>
                <w:noProof/>
              </w:rPr>
              <w:t>8.2 Matriz RACI propuesta</w:t>
            </w:r>
            <w:r>
              <w:rPr>
                <w:noProof/>
              </w:rPr>
              <w:tab/>
            </w:r>
            <w:r>
              <w:rPr>
                <w:noProof/>
              </w:rPr>
              <w:fldChar w:fldCharType="begin"/>
            </w:r>
            <w:r>
              <w:rPr>
                <w:noProof/>
              </w:rPr>
              <w:instrText xml:space="preserve"> PAGEREF _Toc244016981 \h </w:instrText>
            </w:r>
            <w:r>
              <w:rPr>
                <w:noProof/>
              </w:rPr>
            </w:r>
            <w:r>
              <w:rPr>
                <w:noProof/>
              </w:rPr>
              <w:fldChar w:fldCharType="separate"/>
            </w:r>
            <w:r>
              <w:rPr>
                <w:noProof/>
              </w:rPr>
              <w:t>14</w:t>
            </w:r>
            <w:r>
              <w:rPr>
                <w:noProof/>
              </w:rPr>
              <w:fldChar w:fldCharType="end"/>
            </w:r>
          </w:hyperlink>
        </w:p>
        <w:p w14:paraId="50C38405" w14:textId="386A7EC4" w:rsidR="00AA4F1F" w:rsidRDefault="00AA4F1F">
          <w:pPr>
            <w:pStyle w:val="TDC2"/>
            <w:tabs>
              <w:tab w:val="right" w:leader="dot" w:pos="9402"/>
            </w:tabs>
            <w:rPr>
              <w:rFonts w:asciiTheme="minorHAnsi" w:eastAsiaTheme="minorEastAsia" w:hAnsiTheme="minorHAnsi" w:cstheme="minorBidi"/>
              <w:noProof/>
            </w:rPr>
          </w:pPr>
          <w:hyperlink w:anchor="_Toc244016982" w:history="1">
            <w:r w:rsidRPr="0071259A">
              <w:rPr>
                <w:rStyle w:val="Hipervnculo"/>
                <w:noProof/>
              </w:rPr>
              <w:t>8.3 Conclusiones</w:t>
            </w:r>
            <w:r>
              <w:rPr>
                <w:noProof/>
              </w:rPr>
              <w:tab/>
            </w:r>
            <w:r>
              <w:rPr>
                <w:noProof/>
              </w:rPr>
              <w:fldChar w:fldCharType="begin"/>
            </w:r>
            <w:r>
              <w:rPr>
                <w:noProof/>
              </w:rPr>
              <w:instrText xml:space="preserve"> PAGEREF _Toc244016982 \h </w:instrText>
            </w:r>
            <w:r>
              <w:rPr>
                <w:noProof/>
              </w:rPr>
            </w:r>
            <w:r>
              <w:rPr>
                <w:noProof/>
              </w:rPr>
              <w:fldChar w:fldCharType="separate"/>
            </w:r>
            <w:r>
              <w:rPr>
                <w:noProof/>
              </w:rPr>
              <w:t>14</w:t>
            </w:r>
            <w:r>
              <w:rPr>
                <w:noProof/>
              </w:rPr>
              <w:fldChar w:fldCharType="end"/>
            </w:r>
          </w:hyperlink>
        </w:p>
        <w:p w14:paraId="77AC8F60" w14:textId="68F5FA6C" w:rsidR="00AA4F1F" w:rsidRDefault="00AA4F1F">
          <w:pPr>
            <w:pStyle w:val="TDC2"/>
            <w:tabs>
              <w:tab w:val="right" w:leader="dot" w:pos="9402"/>
            </w:tabs>
            <w:rPr>
              <w:rFonts w:asciiTheme="minorHAnsi" w:eastAsiaTheme="minorEastAsia" w:hAnsiTheme="minorHAnsi" w:cstheme="minorBidi"/>
              <w:noProof/>
            </w:rPr>
          </w:pPr>
          <w:hyperlink w:anchor="_Toc244016983" w:history="1">
            <w:r w:rsidRPr="0071259A">
              <w:rPr>
                <w:rStyle w:val="Hipervnculo"/>
                <w:noProof/>
              </w:rPr>
              <w:t>8.4 Fuentes</w:t>
            </w:r>
            <w:r>
              <w:rPr>
                <w:noProof/>
              </w:rPr>
              <w:tab/>
            </w:r>
            <w:r>
              <w:rPr>
                <w:noProof/>
              </w:rPr>
              <w:fldChar w:fldCharType="begin"/>
            </w:r>
            <w:r>
              <w:rPr>
                <w:noProof/>
              </w:rPr>
              <w:instrText xml:space="preserve"> PAGEREF _Toc244016983 \h </w:instrText>
            </w:r>
            <w:r>
              <w:rPr>
                <w:noProof/>
              </w:rPr>
            </w:r>
            <w:r>
              <w:rPr>
                <w:noProof/>
              </w:rPr>
              <w:fldChar w:fldCharType="separate"/>
            </w:r>
            <w:r>
              <w:rPr>
                <w:noProof/>
              </w:rPr>
              <w:t>14</w:t>
            </w:r>
            <w:r>
              <w:rPr>
                <w:noProof/>
              </w:rPr>
              <w:fldChar w:fldCharType="end"/>
            </w:r>
          </w:hyperlink>
        </w:p>
        <w:p w14:paraId="795737CC" w14:textId="320554BB" w:rsidR="004D058E" w:rsidRDefault="00AA4F1F">
          <w:r>
            <w:fldChar w:fldCharType="end"/>
          </w:r>
        </w:p>
      </w:sdtContent>
    </w:sdt>
    <w:p w14:paraId="2204878B" w14:textId="77777777" w:rsidR="004D058E" w:rsidRDefault="00AA4F1F">
      <w:pPr>
        <w:pBdr>
          <w:left w:val="single" w:sz="18" w:space="8" w:color="4A90D9"/>
        </w:pBdr>
        <w:shd w:val="clear" w:color="auto" w:fill="EAF3FC"/>
        <w:spacing w:before="80" w:after="160" w:line="264" w:lineRule="auto"/>
        <w:ind w:left="120" w:right="120"/>
        <w:jc w:val="both"/>
      </w:pPr>
      <w:r>
        <w:rPr>
          <w:b/>
          <w:bCs/>
          <w:color w:val="1B3A5F"/>
        </w:rPr>
        <w:t xml:space="preserve">Estructura. </w:t>
      </w:r>
      <w:r>
        <w:t xml:space="preserve">El enunciado exige «8 capítulos normativos de la cátedra» sin enumerarlos, y no se encontró su definición en los materiales disponibles. La estructura de ocho capítulos de este informe es, por tanto, una </w:t>
      </w:r>
      <w:r>
        <w:rPr>
          <w:b/>
          <w:bCs/>
        </w:rPr>
        <w:t>propuesta editorial del grupo</w:t>
      </w:r>
      <w:r>
        <w:t>, no una estructura textual atribuida al profesor.</w:t>
      </w:r>
    </w:p>
    <w:p w14:paraId="22D0B1D8" w14:textId="77777777" w:rsidR="004D058E" w:rsidRDefault="00AA4F1F">
      <w:pPr>
        <w:pBdr>
          <w:left w:val="single" w:sz="18" w:space="8" w:color="4A90D9"/>
        </w:pBdr>
        <w:shd w:val="clear" w:color="auto" w:fill="EAF3FC"/>
        <w:spacing w:before="80" w:after="160" w:line="264" w:lineRule="auto"/>
        <w:ind w:left="120" w:right="120"/>
        <w:jc w:val="both"/>
      </w:pPr>
      <w:r>
        <w:rPr>
          <w:b/>
          <w:bCs/>
          <w:color w:val="1B3A5F"/>
        </w:rPr>
        <w:t xml:space="preserve">Alcance. </w:t>
      </w:r>
      <w:r>
        <w:t xml:space="preserve">Este caso es independiente del proyecto de empresa TryAIGap. Ninguna cifra, tecnología ni resultado de TryAIGap se usa aquí. Los datos del caso se citan tal como los entrega el enunciado; todo lo </w:t>
      </w:r>
      <w:r>
        <w:t>demás es supuesto de modelación o medición de laboratorio, y se rotula como tal.</w:t>
      </w:r>
    </w:p>
    <w:p w14:paraId="3B4376D9" w14:textId="77777777" w:rsidR="004D058E" w:rsidRDefault="00AA4F1F">
      <w:pPr>
        <w:pStyle w:val="Ttulo1"/>
        <w:pageBreakBefore/>
      </w:pPr>
      <w:bookmarkStart w:id="0" w:name="_Toc244016969"/>
      <w:r>
        <w:lastRenderedPageBreak/>
        <w:t>1. Resumen ejecutivo y dictamen</w:t>
      </w:r>
      <w:bookmarkEnd w:id="0"/>
    </w:p>
    <w:p w14:paraId="26333255" w14:textId="77777777" w:rsidR="004D058E" w:rsidRDefault="00AA4F1F">
      <w:pPr>
        <w:spacing w:after="120" w:line="276" w:lineRule="auto"/>
        <w:jc w:val="both"/>
      </w:pPr>
      <w:r>
        <w:t xml:space="preserve">Alloxentric SpA evalúa integrar en su plataforma SaaS el prototipo </w:t>
      </w:r>
      <w:r>
        <w:rPr>
          <w:b/>
          <w:bCs/>
        </w:rPr>
        <w:t>Vox-Causal AI</w:t>
      </w:r>
      <w:r>
        <w:t>, que combina rasgos prosódicos de la voz del cliente con un mo</w:t>
      </w:r>
      <w:r>
        <w:t xml:space="preserve">delo causal estructural para identificar, durante la llamada, la causa raíz del riesgo de fuga. La evaluación usa la </w:t>
      </w:r>
      <w:r>
        <w:rPr>
          <w:b/>
          <w:bCs/>
        </w:rPr>
        <w:t>prueba de concepto del equipo</w:t>
      </w:r>
      <w:r>
        <w:t xml:space="preserve"> (</w:t>
      </w:r>
      <w:r>
        <w:rPr>
          <w:rFonts w:ascii="Consolas" w:eastAsia="Consolas" w:hAnsi="Consolas" w:cs="Consolas"/>
          <w:color w:val="7A2463"/>
          <w:sz w:val="19"/>
          <w:szCs w:val="19"/>
        </w:rPr>
        <w:t>poc/vox‑causal</w:t>
      </w:r>
      <w:r>
        <w:t xml:space="preserve">, versión de 114 pruebas incluida en </w:t>
      </w:r>
      <w:r>
        <w:rPr>
          <w:rFonts w:ascii="Consolas" w:eastAsia="Consolas" w:hAnsi="Consolas" w:cs="Consolas"/>
          <w:color w:val="7A2463"/>
          <w:sz w:val="19"/>
          <w:szCs w:val="19"/>
        </w:rPr>
        <w:t>Entrega_Parte2_Grupo1.zip</w:t>
      </w:r>
      <w:r>
        <w:t>), cuyo código se reprodujo loca</w:t>
      </w:r>
      <w:r>
        <w:t xml:space="preserve">lmente, y un </w:t>
      </w:r>
      <w:r>
        <w:rPr>
          <w:b/>
          <w:bCs/>
        </w:rPr>
        <w:t>modelo financiero único</w:t>
      </w:r>
      <w:r>
        <w:t xml:space="preserve"> a 36 meses con precios oficiales de Azure UK South.</w:t>
      </w:r>
    </w:p>
    <w:p w14:paraId="151EB602" w14:textId="77777777" w:rsidR="004D058E" w:rsidRDefault="00AA4F1F">
      <w:pPr>
        <w:keepNext/>
        <w:spacing w:before="160" w:after="80"/>
      </w:pPr>
      <w:r>
        <w:rPr>
          <w:b/>
          <w:bCs/>
          <w:color w:val="1B3A5F"/>
          <w:sz w:val="19"/>
          <w:szCs w:val="19"/>
        </w:rPr>
        <w:t>Tabla 1.1. KPI técnicos: estado verificado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3"/>
        <w:gridCol w:w="1754"/>
        <w:gridCol w:w="3669"/>
        <w:gridCol w:w="1756"/>
      </w:tblGrid>
      <w:tr w:rsidR="004D058E" w14:paraId="444C1FBA" w14:textId="77777777">
        <w:trPr>
          <w:cantSplit/>
          <w:tblHeader/>
        </w:trPr>
        <w:tc>
          <w:tcPr>
            <w:tcW w:w="2233"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56391702" w14:textId="77777777" w:rsidR="004D058E" w:rsidRDefault="00AA4F1F">
            <w:pPr>
              <w:spacing w:after="20"/>
            </w:pPr>
            <w:r>
              <w:rPr>
                <w:b/>
                <w:bCs/>
                <w:color w:val="FFFFFF"/>
                <w:sz w:val="16"/>
                <w:szCs w:val="16"/>
              </w:rPr>
              <w:t>KPI</w:t>
            </w:r>
          </w:p>
        </w:tc>
        <w:tc>
          <w:tcPr>
            <w:tcW w:w="1754"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67348EFA" w14:textId="77777777" w:rsidR="004D058E" w:rsidRDefault="00AA4F1F">
            <w:pPr>
              <w:spacing w:after="20"/>
            </w:pPr>
            <w:r>
              <w:rPr>
                <w:b/>
                <w:bCs/>
                <w:color w:val="FFFFFF"/>
                <w:sz w:val="16"/>
                <w:szCs w:val="16"/>
              </w:rPr>
              <w:t>Meta</w:t>
            </w:r>
          </w:p>
        </w:tc>
        <w:tc>
          <w:tcPr>
            <w:tcW w:w="3669"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665DF232" w14:textId="77777777" w:rsidR="004D058E" w:rsidRDefault="00AA4F1F">
            <w:pPr>
              <w:spacing w:after="20"/>
            </w:pPr>
            <w:r>
              <w:rPr>
                <w:b/>
                <w:bCs/>
                <w:color w:val="FFFFFF"/>
                <w:sz w:val="16"/>
                <w:szCs w:val="16"/>
              </w:rPr>
              <w:t>Resultado</w:t>
            </w:r>
          </w:p>
        </w:tc>
        <w:tc>
          <w:tcPr>
            <w:tcW w:w="1756"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3D215F27" w14:textId="77777777" w:rsidR="004D058E" w:rsidRDefault="00AA4F1F">
            <w:pPr>
              <w:spacing w:after="20"/>
            </w:pPr>
            <w:r>
              <w:rPr>
                <w:b/>
                <w:bCs/>
                <w:color w:val="FFFFFF"/>
                <w:sz w:val="16"/>
                <w:szCs w:val="16"/>
              </w:rPr>
              <w:t>Estado</w:t>
            </w:r>
          </w:p>
        </w:tc>
      </w:tr>
      <w:tr w:rsidR="004D058E" w14:paraId="46C0466D" w14:textId="77777777">
        <w:trPr>
          <w:cantSplit/>
        </w:trPr>
        <w:tc>
          <w:tcPr>
            <w:tcW w:w="2233"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376A0421" w14:textId="77777777" w:rsidR="004D058E" w:rsidRDefault="00AA4F1F">
            <w:pPr>
              <w:spacing w:after="20"/>
            </w:pPr>
            <w:r>
              <w:rPr>
                <w:sz w:val="16"/>
                <w:szCs w:val="16"/>
              </w:rPr>
              <w:t>Error ATE (precisión causal)</w:t>
            </w:r>
          </w:p>
        </w:tc>
        <w:tc>
          <w:tcPr>
            <w:tcW w:w="1754"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792D2C7E" w14:textId="77777777" w:rsidR="004D058E" w:rsidRDefault="00AA4F1F">
            <w:pPr>
              <w:spacing w:after="20"/>
            </w:pPr>
            <w:r>
              <w:rPr>
                <w:sz w:val="16"/>
                <w:szCs w:val="16"/>
              </w:rPr>
              <w:t>≤ 0,05</w:t>
            </w:r>
          </w:p>
        </w:tc>
        <w:tc>
          <w:tcPr>
            <w:tcW w:w="3669"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5510DB0D" w14:textId="77777777" w:rsidR="004D058E" w:rsidRDefault="00AA4F1F">
            <w:pPr>
              <w:spacing w:after="20"/>
            </w:pPr>
            <w:r>
              <w:rPr>
                <w:sz w:val="16"/>
                <w:szCs w:val="16"/>
              </w:rPr>
              <w:t>0,0006–0,0040 (máx. 0,0076 en 5 réplicas), datos sintéticos de efecto conocido</w:t>
            </w:r>
          </w:p>
        </w:tc>
        <w:tc>
          <w:tcPr>
            <w:tcW w:w="1756"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02B0768A" w14:textId="77777777" w:rsidR="004D058E" w:rsidRDefault="00AA4F1F">
            <w:pPr>
              <w:spacing w:after="20"/>
            </w:pPr>
            <w:r>
              <w:rPr>
                <w:sz w:val="16"/>
                <w:szCs w:val="16"/>
              </w:rPr>
              <w:t>Cumple (reproducido)</w:t>
            </w:r>
          </w:p>
        </w:tc>
      </w:tr>
      <w:tr w:rsidR="004D058E" w14:paraId="14F35F2A" w14:textId="77777777">
        <w:trPr>
          <w:cantSplit/>
        </w:trPr>
        <w:tc>
          <w:tcPr>
            <w:tcW w:w="2233"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595AA994" w14:textId="77777777" w:rsidR="004D058E" w:rsidRDefault="00AA4F1F">
            <w:pPr>
              <w:spacing w:after="20"/>
            </w:pPr>
            <w:r>
              <w:rPr>
                <w:sz w:val="16"/>
                <w:szCs w:val="16"/>
              </w:rPr>
              <w:t>Latencia de inferencia, p95</w:t>
            </w:r>
          </w:p>
        </w:tc>
        <w:tc>
          <w:tcPr>
            <w:tcW w:w="1754"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0628656A" w14:textId="77777777" w:rsidR="004D058E" w:rsidRDefault="00AA4F1F">
            <w:pPr>
              <w:spacing w:after="20"/>
            </w:pPr>
            <w:r>
              <w:rPr>
                <w:sz w:val="16"/>
                <w:szCs w:val="16"/>
              </w:rPr>
              <w:t>&lt; 250 ms (oficial); &lt; 200 ms (PoC, R1)</w:t>
            </w:r>
          </w:p>
        </w:tc>
        <w:tc>
          <w:tcPr>
            <w:tcW w:w="3669"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56C75465" w14:textId="77777777" w:rsidR="004D058E" w:rsidRDefault="00AA4F1F">
            <w:pPr>
              <w:spacing w:after="20"/>
            </w:pPr>
            <w:r>
              <w:rPr>
                <w:sz w:val="16"/>
                <w:szCs w:val="16"/>
              </w:rPr>
              <w:t>Servidor 2,9 ms; extremo a extremo con 100 llamadas por réplica 31–32 ms</w:t>
            </w:r>
          </w:p>
        </w:tc>
        <w:tc>
          <w:tcPr>
            <w:tcW w:w="1756"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37FD8C12" w14:textId="77777777" w:rsidR="004D058E" w:rsidRDefault="00AA4F1F">
            <w:pPr>
              <w:spacing w:after="20"/>
            </w:pPr>
            <w:r>
              <w:rPr>
                <w:sz w:val="16"/>
                <w:szCs w:val="16"/>
              </w:rPr>
              <w:t>Cumple (reproducido, 1 núcleo local)</w:t>
            </w:r>
          </w:p>
        </w:tc>
      </w:tr>
      <w:tr w:rsidR="004D058E" w14:paraId="4D26AD50" w14:textId="77777777">
        <w:trPr>
          <w:cantSplit/>
        </w:trPr>
        <w:tc>
          <w:tcPr>
            <w:tcW w:w="2233"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579692D1" w14:textId="77777777" w:rsidR="004D058E" w:rsidRDefault="00AA4F1F">
            <w:pPr>
              <w:spacing w:after="20"/>
            </w:pPr>
            <w:r>
              <w:rPr>
                <w:sz w:val="16"/>
                <w:szCs w:val="16"/>
              </w:rPr>
              <w:t>Concurrencia</w:t>
            </w:r>
          </w:p>
        </w:tc>
        <w:tc>
          <w:tcPr>
            <w:tcW w:w="1754"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468B3D7B" w14:textId="77777777" w:rsidR="004D058E" w:rsidRDefault="00AA4F1F">
            <w:pPr>
              <w:spacing w:after="20"/>
            </w:pPr>
            <w:r>
              <w:rPr>
                <w:sz w:val="16"/>
                <w:szCs w:val="16"/>
              </w:rPr>
              <w:t>1.500 llamadas</w:t>
            </w:r>
          </w:p>
        </w:tc>
        <w:tc>
          <w:tcPr>
            <w:tcW w:w="3669"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66C2848D" w14:textId="77777777" w:rsidR="004D058E" w:rsidRDefault="00AA4F1F">
            <w:pPr>
              <w:spacing w:after="20"/>
            </w:pPr>
            <w:r>
              <w:rPr>
                <w:sz w:val="16"/>
                <w:szCs w:val="16"/>
              </w:rPr>
              <w:t>180 por réplica documentado; 100 estable reproducido; 1.500 solo dimensionado (10 réplicas)</w:t>
            </w:r>
          </w:p>
        </w:tc>
        <w:tc>
          <w:tcPr>
            <w:tcW w:w="1756"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4F641281" w14:textId="77777777" w:rsidR="004D058E" w:rsidRDefault="00AA4F1F">
            <w:pPr>
              <w:spacing w:after="20"/>
            </w:pPr>
            <w:r>
              <w:rPr>
                <w:sz w:val="16"/>
                <w:szCs w:val="16"/>
              </w:rPr>
              <w:t>Sin verificar</w:t>
            </w:r>
          </w:p>
        </w:tc>
      </w:tr>
      <w:tr w:rsidR="004D058E" w14:paraId="7B7969DD" w14:textId="77777777">
        <w:trPr>
          <w:cantSplit/>
        </w:trPr>
        <w:tc>
          <w:tcPr>
            <w:tcW w:w="2233"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5FD3B6B8" w14:textId="77777777" w:rsidR="004D058E" w:rsidRDefault="00AA4F1F">
            <w:pPr>
              <w:spacing w:after="20"/>
            </w:pPr>
            <w:r>
              <w:rPr>
                <w:sz w:val="16"/>
                <w:szCs w:val="16"/>
              </w:rPr>
              <w:t>Calidad del software</w:t>
            </w:r>
          </w:p>
        </w:tc>
        <w:tc>
          <w:tcPr>
            <w:tcW w:w="1754"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581596D2" w14:textId="77777777" w:rsidR="004D058E" w:rsidRDefault="00AA4F1F">
            <w:pPr>
              <w:spacing w:after="20"/>
            </w:pPr>
            <w:r>
              <w:rPr>
                <w:sz w:val="16"/>
                <w:szCs w:val="16"/>
              </w:rPr>
              <w:t>Cobertura ≥ 85 %</w:t>
            </w:r>
          </w:p>
        </w:tc>
        <w:tc>
          <w:tcPr>
            <w:tcW w:w="3669"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4F47D84B" w14:textId="77777777" w:rsidR="004D058E" w:rsidRDefault="00AA4F1F">
            <w:pPr>
              <w:spacing w:after="20"/>
            </w:pPr>
            <w:r>
              <w:rPr>
                <w:sz w:val="16"/>
                <w:szCs w:val="16"/>
              </w:rPr>
              <w:t>114/114 pruebas, 96 %, Ruff 0, complejidad A (2,66)</w:t>
            </w:r>
          </w:p>
        </w:tc>
        <w:tc>
          <w:tcPr>
            <w:tcW w:w="1756"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1241A591" w14:textId="77777777" w:rsidR="004D058E" w:rsidRDefault="00AA4F1F">
            <w:pPr>
              <w:spacing w:after="20"/>
            </w:pPr>
            <w:r>
              <w:rPr>
                <w:sz w:val="16"/>
                <w:szCs w:val="16"/>
              </w:rPr>
              <w:t>Cumple (reproducido)</w:t>
            </w:r>
          </w:p>
        </w:tc>
      </w:tr>
    </w:tbl>
    <w:p w14:paraId="7BDF3A58" w14:textId="77777777" w:rsidR="004D058E" w:rsidRDefault="004D058E">
      <w:pPr>
        <w:spacing w:after="60"/>
      </w:pPr>
    </w:p>
    <w:p w14:paraId="3DCE33EF" w14:textId="77777777" w:rsidR="004D058E" w:rsidRDefault="00AA4F1F">
      <w:pPr>
        <w:keepNext/>
        <w:spacing w:before="160" w:after="80"/>
      </w:pPr>
      <w:r>
        <w:rPr>
          <w:b/>
          <w:bCs/>
          <w:color w:val="1B3A5F"/>
          <w:sz w:val="19"/>
          <w:szCs w:val="19"/>
        </w:rPr>
        <w:t>Tabla 1.2. Indicadores económicos (GBP, 36 meses, tasa 12 %)</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65"/>
        <w:gridCol w:w="1848"/>
        <w:gridCol w:w="1848"/>
        <w:gridCol w:w="1851"/>
      </w:tblGrid>
      <w:tr w:rsidR="004D058E" w14:paraId="7E8AB6E1" w14:textId="77777777">
        <w:trPr>
          <w:cantSplit/>
          <w:tblHeader/>
        </w:trPr>
        <w:tc>
          <w:tcPr>
            <w:tcW w:w="3865"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2AAB3C4E" w14:textId="77777777" w:rsidR="004D058E" w:rsidRDefault="00AA4F1F">
            <w:pPr>
              <w:spacing w:after="20"/>
            </w:pPr>
            <w:r>
              <w:rPr>
                <w:b/>
                <w:bCs/>
                <w:color w:val="FFFFFF"/>
                <w:sz w:val="16"/>
                <w:szCs w:val="16"/>
              </w:rPr>
              <w:t>Indicador</w:t>
            </w:r>
          </w:p>
        </w:tc>
        <w:tc>
          <w:tcPr>
            <w:tcW w:w="1848"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06354612" w14:textId="77777777" w:rsidR="004D058E" w:rsidRDefault="00AA4F1F">
            <w:pPr>
              <w:spacing w:after="20"/>
            </w:pPr>
            <w:r>
              <w:rPr>
                <w:b/>
                <w:bCs/>
                <w:color w:val="FFFFFF"/>
                <w:sz w:val="16"/>
                <w:szCs w:val="16"/>
              </w:rPr>
              <w:t>Optimista</w:t>
            </w:r>
          </w:p>
        </w:tc>
        <w:tc>
          <w:tcPr>
            <w:tcW w:w="1848"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44CDC9D3" w14:textId="77777777" w:rsidR="004D058E" w:rsidRDefault="00AA4F1F">
            <w:pPr>
              <w:spacing w:after="20"/>
            </w:pPr>
            <w:r>
              <w:rPr>
                <w:b/>
                <w:bCs/>
                <w:color w:val="FFFFFF"/>
                <w:sz w:val="16"/>
                <w:szCs w:val="16"/>
              </w:rPr>
              <w:t>Base</w:t>
            </w:r>
          </w:p>
        </w:tc>
        <w:tc>
          <w:tcPr>
            <w:tcW w:w="1851"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25C480B7" w14:textId="77777777" w:rsidR="004D058E" w:rsidRDefault="00AA4F1F">
            <w:pPr>
              <w:spacing w:after="20"/>
            </w:pPr>
            <w:r>
              <w:rPr>
                <w:b/>
                <w:bCs/>
                <w:color w:val="FFFFFF"/>
                <w:sz w:val="16"/>
                <w:szCs w:val="16"/>
              </w:rPr>
              <w:t>Pesimista</w:t>
            </w:r>
          </w:p>
        </w:tc>
      </w:tr>
      <w:tr w:rsidR="004D058E" w14:paraId="48F1AFEF" w14:textId="77777777">
        <w:trPr>
          <w:cantSplit/>
        </w:trPr>
        <w:tc>
          <w:tcPr>
            <w:tcW w:w="3865"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2A96E41B" w14:textId="77777777" w:rsidR="004D058E" w:rsidRDefault="00AA4F1F">
            <w:pPr>
              <w:spacing w:after="20"/>
            </w:pPr>
            <w:r>
              <w:rPr>
                <w:sz w:val="16"/>
                <w:szCs w:val="16"/>
              </w:rPr>
              <w:t>CAPEX (800 HH × tarifa + 10 % de reserva)</w:t>
            </w:r>
          </w:p>
        </w:tc>
        <w:tc>
          <w:tcPr>
            <w:tcW w:w="1848"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79B997C7" w14:textId="77777777" w:rsidR="004D058E" w:rsidRDefault="00AA4F1F">
            <w:pPr>
              <w:spacing w:after="20"/>
            </w:pPr>
            <w:r>
              <w:rPr>
                <w:sz w:val="16"/>
                <w:szCs w:val="16"/>
              </w:rPr>
              <w:t>£49,867</w:t>
            </w:r>
          </w:p>
        </w:tc>
        <w:tc>
          <w:tcPr>
            <w:tcW w:w="1848"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6000A16E" w14:textId="77777777" w:rsidR="004D058E" w:rsidRDefault="00AA4F1F">
            <w:pPr>
              <w:spacing w:after="20"/>
            </w:pPr>
            <w:r>
              <w:rPr>
                <w:sz w:val="16"/>
                <w:szCs w:val="16"/>
              </w:rPr>
              <w:t>£64,533</w:t>
            </w:r>
          </w:p>
        </w:tc>
        <w:tc>
          <w:tcPr>
            <w:tcW w:w="1851"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133DE7C8" w14:textId="77777777" w:rsidR="004D058E" w:rsidRDefault="00AA4F1F">
            <w:pPr>
              <w:spacing w:after="20"/>
            </w:pPr>
            <w:r>
              <w:rPr>
                <w:sz w:val="16"/>
                <w:szCs w:val="16"/>
              </w:rPr>
              <w:t>£113,667</w:t>
            </w:r>
          </w:p>
        </w:tc>
      </w:tr>
      <w:tr w:rsidR="004D058E" w14:paraId="47593975" w14:textId="77777777">
        <w:trPr>
          <w:cantSplit/>
        </w:trPr>
        <w:tc>
          <w:tcPr>
            <w:tcW w:w="3865"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7AF73A37" w14:textId="77777777" w:rsidR="004D058E" w:rsidRDefault="00AA4F1F">
            <w:pPr>
              <w:spacing w:after="20"/>
            </w:pPr>
            <w:r>
              <w:rPr>
                <w:sz w:val="16"/>
                <w:szCs w:val="16"/>
              </w:rPr>
              <w:t>OPEX mensual estable</w:t>
            </w:r>
          </w:p>
        </w:tc>
        <w:tc>
          <w:tcPr>
            <w:tcW w:w="1848"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79813A60" w14:textId="77777777" w:rsidR="004D058E" w:rsidRDefault="00AA4F1F">
            <w:pPr>
              <w:spacing w:after="20"/>
            </w:pPr>
            <w:r>
              <w:rPr>
                <w:sz w:val="16"/>
                <w:szCs w:val="16"/>
              </w:rPr>
              <w:t>£2,387</w:t>
            </w:r>
          </w:p>
        </w:tc>
        <w:tc>
          <w:tcPr>
            <w:tcW w:w="1848"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6DA97261" w14:textId="77777777" w:rsidR="004D058E" w:rsidRDefault="00AA4F1F">
            <w:pPr>
              <w:spacing w:after="20"/>
            </w:pPr>
            <w:r>
              <w:rPr>
                <w:sz w:val="16"/>
                <w:szCs w:val="16"/>
              </w:rPr>
              <w:t>£3,164</w:t>
            </w:r>
          </w:p>
        </w:tc>
        <w:tc>
          <w:tcPr>
            <w:tcW w:w="1851"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1895D6AC" w14:textId="77777777" w:rsidR="004D058E" w:rsidRDefault="00AA4F1F">
            <w:pPr>
              <w:spacing w:after="20"/>
            </w:pPr>
            <w:r>
              <w:rPr>
                <w:sz w:val="16"/>
                <w:szCs w:val="16"/>
              </w:rPr>
              <w:t>£5,851</w:t>
            </w:r>
          </w:p>
        </w:tc>
      </w:tr>
      <w:tr w:rsidR="004D058E" w14:paraId="173EA5E1" w14:textId="77777777">
        <w:trPr>
          <w:cantSplit/>
        </w:trPr>
        <w:tc>
          <w:tcPr>
            <w:tcW w:w="3865"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44FE2774" w14:textId="77777777" w:rsidR="004D058E" w:rsidRDefault="00AA4F1F">
            <w:pPr>
              <w:spacing w:after="20"/>
            </w:pPr>
            <w:r>
              <w:rPr>
                <w:sz w:val="16"/>
                <w:szCs w:val="16"/>
              </w:rPr>
              <w:t>Ingreso incremental mensual estable</w:t>
            </w:r>
          </w:p>
        </w:tc>
        <w:tc>
          <w:tcPr>
            <w:tcW w:w="1848"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653C60D5" w14:textId="77777777" w:rsidR="004D058E" w:rsidRDefault="00AA4F1F">
            <w:pPr>
              <w:spacing w:after="20"/>
            </w:pPr>
            <w:r>
              <w:rPr>
                <w:sz w:val="16"/>
                <w:szCs w:val="16"/>
              </w:rPr>
              <w:t>£24,000</w:t>
            </w:r>
          </w:p>
        </w:tc>
        <w:tc>
          <w:tcPr>
            <w:tcW w:w="1848"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585BC776" w14:textId="77777777" w:rsidR="004D058E" w:rsidRDefault="00AA4F1F">
            <w:pPr>
              <w:spacing w:after="20"/>
            </w:pPr>
            <w:r>
              <w:rPr>
                <w:sz w:val="16"/>
                <w:szCs w:val="16"/>
              </w:rPr>
              <w:t>£14,400</w:t>
            </w:r>
          </w:p>
        </w:tc>
        <w:tc>
          <w:tcPr>
            <w:tcW w:w="1851"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53FFCBEA" w14:textId="77777777" w:rsidR="004D058E" w:rsidRDefault="00AA4F1F">
            <w:pPr>
              <w:spacing w:after="20"/>
            </w:pPr>
            <w:r>
              <w:rPr>
                <w:sz w:val="16"/>
                <w:szCs w:val="16"/>
              </w:rPr>
              <w:t>£4,000</w:t>
            </w:r>
          </w:p>
        </w:tc>
      </w:tr>
      <w:tr w:rsidR="004D058E" w14:paraId="746F94BA" w14:textId="77777777">
        <w:trPr>
          <w:cantSplit/>
        </w:trPr>
        <w:tc>
          <w:tcPr>
            <w:tcW w:w="3865"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596E625B" w14:textId="77777777" w:rsidR="004D058E" w:rsidRDefault="00AA4F1F">
            <w:pPr>
              <w:spacing w:after="20"/>
            </w:pPr>
            <w:r>
              <w:rPr>
                <w:sz w:val="16"/>
                <w:szCs w:val="16"/>
              </w:rPr>
              <w:t>VAN</w:t>
            </w:r>
          </w:p>
        </w:tc>
        <w:tc>
          <w:tcPr>
            <w:tcW w:w="1848"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7AC0310B" w14:textId="77777777" w:rsidR="004D058E" w:rsidRDefault="00AA4F1F">
            <w:pPr>
              <w:spacing w:after="20"/>
            </w:pPr>
            <w:r>
              <w:rPr>
                <w:sz w:val="16"/>
                <w:szCs w:val="16"/>
              </w:rPr>
              <w:t>£453,908</w:t>
            </w:r>
          </w:p>
        </w:tc>
        <w:tc>
          <w:tcPr>
            <w:tcW w:w="1848"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3A267A18" w14:textId="77777777" w:rsidR="004D058E" w:rsidRDefault="00AA4F1F">
            <w:pPr>
              <w:spacing w:after="20"/>
            </w:pPr>
            <w:r>
              <w:rPr>
                <w:sz w:val="16"/>
                <w:szCs w:val="16"/>
              </w:rPr>
              <w:t>£174,125</w:t>
            </w:r>
          </w:p>
        </w:tc>
        <w:tc>
          <w:tcPr>
            <w:tcW w:w="1851"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7126B160" w14:textId="77777777" w:rsidR="004D058E" w:rsidRDefault="00AA4F1F">
            <w:pPr>
              <w:spacing w:after="20"/>
            </w:pPr>
            <w:r>
              <w:rPr>
                <w:sz w:val="16"/>
                <w:szCs w:val="16"/>
              </w:rPr>
              <w:t>−</w:t>
            </w:r>
            <w:r>
              <w:rPr>
                <w:sz w:val="16"/>
                <w:szCs w:val="16"/>
              </w:rPr>
              <w:t>£184,677</w:t>
            </w:r>
          </w:p>
        </w:tc>
      </w:tr>
      <w:tr w:rsidR="004D058E" w14:paraId="34AFAB80" w14:textId="77777777">
        <w:trPr>
          <w:cantSplit/>
        </w:trPr>
        <w:tc>
          <w:tcPr>
            <w:tcW w:w="3865"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77A9904A" w14:textId="77777777" w:rsidR="004D058E" w:rsidRDefault="00AA4F1F">
            <w:pPr>
              <w:spacing w:after="20"/>
            </w:pPr>
            <w:r>
              <w:rPr>
                <w:sz w:val="16"/>
                <w:szCs w:val="16"/>
              </w:rPr>
              <w:t>TIR anual equivalente</w:t>
            </w:r>
          </w:p>
        </w:tc>
        <w:tc>
          <w:tcPr>
            <w:tcW w:w="1848"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3F11564D" w14:textId="77777777" w:rsidR="004D058E" w:rsidRDefault="00AA4F1F">
            <w:pPr>
              <w:spacing w:after="20"/>
            </w:pPr>
            <w:r>
              <w:rPr>
                <w:sz w:val="16"/>
                <w:szCs w:val="16"/>
              </w:rPr>
              <w:t>642,9 %</w:t>
            </w:r>
          </w:p>
        </w:tc>
        <w:tc>
          <w:tcPr>
            <w:tcW w:w="1848"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1728A5B6" w14:textId="77777777" w:rsidR="004D058E" w:rsidRDefault="00AA4F1F">
            <w:pPr>
              <w:spacing w:after="20"/>
            </w:pPr>
            <w:r>
              <w:rPr>
                <w:sz w:val="16"/>
                <w:szCs w:val="16"/>
              </w:rPr>
              <w:t>160,4 %</w:t>
            </w:r>
          </w:p>
        </w:tc>
        <w:tc>
          <w:tcPr>
            <w:tcW w:w="1851"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0D69F383" w14:textId="77777777" w:rsidR="004D058E" w:rsidRDefault="00AA4F1F">
            <w:pPr>
              <w:spacing w:after="20"/>
            </w:pPr>
            <w:r>
              <w:rPr>
                <w:sz w:val="16"/>
                <w:szCs w:val="16"/>
              </w:rPr>
              <w:t>No existe</w:t>
            </w:r>
          </w:p>
        </w:tc>
      </w:tr>
      <w:tr w:rsidR="004D058E" w14:paraId="4163C378" w14:textId="77777777">
        <w:trPr>
          <w:cantSplit/>
        </w:trPr>
        <w:tc>
          <w:tcPr>
            <w:tcW w:w="3865"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52532F35" w14:textId="77777777" w:rsidR="004D058E" w:rsidRDefault="00AA4F1F">
            <w:pPr>
              <w:spacing w:after="20"/>
            </w:pPr>
            <w:r>
              <w:rPr>
                <w:sz w:val="16"/>
                <w:szCs w:val="16"/>
              </w:rPr>
              <w:t>Payback simple (interpolado)</w:t>
            </w:r>
          </w:p>
        </w:tc>
        <w:tc>
          <w:tcPr>
            <w:tcW w:w="1848"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5C46D8B2" w14:textId="77777777" w:rsidR="004D058E" w:rsidRDefault="00AA4F1F">
            <w:pPr>
              <w:spacing w:after="20"/>
            </w:pPr>
            <w:r>
              <w:rPr>
                <w:sz w:val="16"/>
                <w:szCs w:val="16"/>
              </w:rPr>
              <w:t>9,5 meses</w:t>
            </w:r>
          </w:p>
        </w:tc>
        <w:tc>
          <w:tcPr>
            <w:tcW w:w="1848"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24F419B4" w14:textId="77777777" w:rsidR="004D058E" w:rsidRDefault="00AA4F1F">
            <w:pPr>
              <w:spacing w:after="20"/>
            </w:pPr>
            <w:r>
              <w:rPr>
                <w:sz w:val="16"/>
                <w:szCs w:val="16"/>
              </w:rPr>
              <w:t>15,5 meses</w:t>
            </w:r>
          </w:p>
        </w:tc>
        <w:tc>
          <w:tcPr>
            <w:tcW w:w="1851"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438ADD97" w14:textId="77777777" w:rsidR="004D058E" w:rsidRDefault="00AA4F1F">
            <w:pPr>
              <w:spacing w:after="20"/>
            </w:pPr>
            <w:r>
              <w:rPr>
                <w:sz w:val="16"/>
                <w:szCs w:val="16"/>
              </w:rPr>
              <w:t>No recupera</w:t>
            </w:r>
          </w:p>
        </w:tc>
      </w:tr>
      <w:tr w:rsidR="004D058E" w14:paraId="06381014" w14:textId="77777777">
        <w:trPr>
          <w:cantSplit/>
        </w:trPr>
        <w:tc>
          <w:tcPr>
            <w:tcW w:w="3865"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2B4EB5BA" w14:textId="77777777" w:rsidR="004D058E" w:rsidRDefault="00AA4F1F">
            <w:pPr>
              <w:spacing w:after="20"/>
            </w:pPr>
            <w:r>
              <w:rPr>
                <w:sz w:val="16"/>
                <w:szCs w:val="16"/>
              </w:rPr>
              <w:t>Relación B/C</w:t>
            </w:r>
          </w:p>
        </w:tc>
        <w:tc>
          <w:tcPr>
            <w:tcW w:w="1848"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059E5FF7" w14:textId="77777777" w:rsidR="004D058E" w:rsidRDefault="00AA4F1F">
            <w:pPr>
              <w:spacing w:after="20"/>
            </w:pPr>
            <w:r>
              <w:rPr>
                <w:sz w:val="16"/>
                <w:szCs w:val="16"/>
              </w:rPr>
              <w:t>5,02</w:t>
            </w:r>
          </w:p>
        </w:tc>
        <w:tc>
          <w:tcPr>
            <w:tcW w:w="1848"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27D42D78" w14:textId="77777777" w:rsidR="004D058E" w:rsidRDefault="00AA4F1F">
            <w:pPr>
              <w:spacing w:after="20"/>
            </w:pPr>
            <w:r>
              <w:rPr>
                <w:sz w:val="16"/>
                <w:szCs w:val="16"/>
              </w:rPr>
              <w:t>2,17</w:t>
            </w:r>
          </w:p>
        </w:tc>
        <w:tc>
          <w:tcPr>
            <w:tcW w:w="1851"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11E12AEA" w14:textId="77777777" w:rsidR="004D058E" w:rsidRDefault="00AA4F1F">
            <w:pPr>
              <w:spacing w:after="20"/>
            </w:pPr>
            <w:r>
              <w:rPr>
                <w:sz w:val="16"/>
                <w:szCs w:val="16"/>
              </w:rPr>
              <w:t>0,27</w:t>
            </w:r>
          </w:p>
        </w:tc>
      </w:tr>
    </w:tbl>
    <w:p w14:paraId="2FCD842B" w14:textId="77777777" w:rsidR="004D058E" w:rsidRDefault="004D058E">
      <w:pPr>
        <w:spacing w:after="60"/>
      </w:pPr>
    </w:p>
    <w:p w14:paraId="7A54223C" w14:textId="77777777" w:rsidR="004D058E" w:rsidRDefault="00AA4F1F">
      <w:pPr>
        <w:spacing w:after="120" w:line="276" w:lineRule="auto"/>
        <w:jc w:val="both"/>
      </w:pPr>
      <w:r>
        <w:rPr>
          <w:b/>
          <w:bCs/>
        </w:rPr>
        <w:t>Dictamen: GO condicionado por etapas.</w:t>
      </w:r>
      <w:r>
        <w:t xml:space="preserve"> El caso base crea valor (VAN £174,125, B/C 2,17); el costo de Azure es moderado (£1,697 al mes, dominado por API Management y Service Bus Premium) y el riesgo principal es comercial: el escenario pesimista destruye val</w:t>
      </w:r>
      <w:r>
        <w:t xml:space="preserve">or (VAN −£184,677). La escala de 1.500 llamadas y la precisión con datos reales </w:t>
      </w:r>
      <w:r>
        <w:rPr>
          <w:b/>
          <w:bCs/>
        </w:rPr>
        <w:t>no están demostradas</w:t>
      </w:r>
      <w:r>
        <w:t>. Se recomienda financiar la integración y un piloto, y aprobar la producción solo con cuatro compuertas: (1) prueba de carga en Azure UK South con 1.500 llamadas y p95 &lt; 250 ms; (2) error ATE ≤ 0,05 con datos de Alloxentric; (3) adopción comprometida ≥ 26</w:t>
      </w:r>
      <w:r>
        <w:t>,8 % de 2.000 puestos (≈ 535); (4) DPIA aprobada bajo el UK GDPR.</w:t>
      </w:r>
    </w:p>
    <w:p w14:paraId="08B255FB" w14:textId="77777777" w:rsidR="004D058E" w:rsidRDefault="00AA4F1F">
      <w:pPr>
        <w:pStyle w:val="Ttulo1"/>
        <w:pageBreakBefore/>
      </w:pPr>
      <w:bookmarkStart w:id="1" w:name="_Toc244016970"/>
      <w:r>
        <w:lastRenderedPageBreak/>
        <w:t>2. Contexto, problema y alcance</w:t>
      </w:r>
      <w:bookmarkEnd w:id="1"/>
    </w:p>
    <w:p w14:paraId="3C992D2A" w14:textId="77777777" w:rsidR="004D058E" w:rsidRDefault="00AA4F1F">
      <w:pPr>
        <w:spacing w:after="120" w:line="276" w:lineRule="auto"/>
        <w:jc w:val="both"/>
      </w:pPr>
      <w:r>
        <w:t>Alloxentric SpA, con casa matriz en Londres, procesa diariamente millones de interacciones de texto, audio y video en Microsoft Azure. Sus modelos actuales so</w:t>
      </w:r>
      <w:r>
        <w:t xml:space="preserve">n correlacionales: detectan tono o sentimiento, pero no separan la causa de lo que solo la acompaña. Con datos de efecto conocido, la diferencia simple entre grupos sobrestima el efecto de la espera prolongada (error 0,056, sobre el umbral) e </w:t>
      </w:r>
      <w:r>
        <w:rPr>
          <w:b/>
          <w:bCs/>
        </w:rPr>
        <w:t>invierte el o</w:t>
      </w:r>
      <w:r>
        <w:rPr>
          <w:b/>
          <w:bCs/>
        </w:rPr>
        <w:t>rden de las causas</w:t>
      </w:r>
      <w:r>
        <w:t>; el estimador causal (DoWhy con EconML LinearDML y ajuste backdoor) recupera los tres efectos con errores entre 0,0006 y 0,0040.</w:t>
      </w:r>
    </w:p>
    <w:p w14:paraId="5B6679D3" w14:textId="77777777" w:rsidR="004D058E" w:rsidRDefault="00AA4F1F">
      <w:pPr>
        <w:keepNext/>
        <w:spacing w:before="160" w:after="80"/>
      </w:pPr>
      <w:r>
        <w:rPr>
          <w:b/>
          <w:bCs/>
          <w:color w:val="1B3A5F"/>
          <w:sz w:val="19"/>
          <w:szCs w:val="19"/>
        </w:rPr>
        <w:t>Tabla 2.1. Datos oficiales del caso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30"/>
        <w:gridCol w:w="6382"/>
      </w:tblGrid>
      <w:tr w:rsidR="004D058E" w14:paraId="104E5E89" w14:textId="77777777">
        <w:trPr>
          <w:cantSplit/>
          <w:tblHeader/>
        </w:trPr>
        <w:tc>
          <w:tcPr>
            <w:tcW w:w="3030"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055C7E21" w14:textId="77777777" w:rsidR="004D058E" w:rsidRDefault="00AA4F1F">
            <w:pPr>
              <w:spacing w:after="20"/>
            </w:pPr>
            <w:r>
              <w:rPr>
                <w:b/>
                <w:bCs/>
                <w:color w:val="FFFFFF"/>
                <w:sz w:val="16"/>
                <w:szCs w:val="16"/>
              </w:rPr>
              <w:t>Dato oficial del enunciado</w:t>
            </w:r>
          </w:p>
        </w:tc>
        <w:tc>
          <w:tcPr>
            <w:tcW w:w="6382"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485F6FBC" w14:textId="77777777" w:rsidR="004D058E" w:rsidRDefault="00AA4F1F">
            <w:pPr>
              <w:spacing w:after="20"/>
            </w:pPr>
            <w:r>
              <w:rPr>
                <w:b/>
                <w:bCs/>
                <w:color w:val="FFFFFF"/>
                <w:sz w:val="16"/>
                <w:szCs w:val="16"/>
              </w:rPr>
              <w:t>Valor</w:t>
            </w:r>
          </w:p>
        </w:tc>
      </w:tr>
      <w:tr w:rsidR="004D058E" w14:paraId="66A7DFE2" w14:textId="77777777">
        <w:trPr>
          <w:cantSplit/>
        </w:trPr>
        <w:tc>
          <w:tcPr>
            <w:tcW w:w="3030"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298D5C14" w14:textId="77777777" w:rsidR="004D058E" w:rsidRDefault="00AA4F1F">
            <w:pPr>
              <w:spacing w:after="20"/>
            </w:pPr>
            <w:r>
              <w:rPr>
                <w:sz w:val="16"/>
                <w:szCs w:val="16"/>
              </w:rPr>
              <w:t>Stack del prototipo / arquitectura existente</w:t>
            </w:r>
          </w:p>
        </w:tc>
        <w:tc>
          <w:tcPr>
            <w:tcW w:w="6382"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2F12287C" w14:textId="77777777" w:rsidR="004D058E" w:rsidRDefault="00AA4F1F">
            <w:pPr>
              <w:spacing w:after="20"/>
            </w:pPr>
            <w:r>
              <w:rPr>
                <w:sz w:val="16"/>
                <w:szCs w:val="16"/>
              </w:rPr>
              <w:t>Python 3.12, FastAPI, DoWhy/EconML / API Management, Service Bus, Blob Storage con SAS, Azure OpenAI</w:t>
            </w:r>
          </w:p>
        </w:tc>
      </w:tr>
      <w:tr w:rsidR="004D058E" w14:paraId="3CEB37C9" w14:textId="77777777">
        <w:trPr>
          <w:cantSplit/>
        </w:trPr>
        <w:tc>
          <w:tcPr>
            <w:tcW w:w="3030"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5144BBD7" w14:textId="77777777" w:rsidR="004D058E" w:rsidRDefault="00AA4F1F">
            <w:pPr>
              <w:spacing w:after="20"/>
            </w:pPr>
            <w:r>
              <w:rPr>
                <w:sz w:val="16"/>
                <w:szCs w:val="16"/>
              </w:rPr>
              <w:t>KPI</w:t>
            </w:r>
          </w:p>
        </w:tc>
        <w:tc>
          <w:tcPr>
            <w:tcW w:w="6382"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54E6FFAB" w14:textId="77777777" w:rsidR="004D058E" w:rsidRDefault="00AA4F1F">
            <w:pPr>
              <w:spacing w:after="20"/>
            </w:pPr>
            <w:r>
              <w:rPr>
                <w:sz w:val="16"/>
                <w:szCs w:val="16"/>
              </w:rPr>
              <w:t>Latencia &lt; 250 ms en streaming; 1.500 llamadas concurrentes sin degradación; error ATE ≤ 0,05</w:t>
            </w:r>
          </w:p>
        </w:tc>
      </w:tr>
      <w:tr w:rsidR="004D058E" w14:paraId="38DF24FF" w14:textId="77777777">
        <w:trPr>
          <w:cantSplit/>
        </w:trPr>
        <w:tc>
          <w:tcPr>
            <w:tcW w:w="3030"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26C7ECBE" w14:textId="77777777" w:rsidR="004D058E" w:rsidRDefault="00AA4F1F">
            <w:pPr>
              <w:spacing w:after="20"/>
            </w:pPr>
            <w:r>
              <w:rPr>
                <w:sz w:val="16"/>
                <w:szCs w:val="16"/>
              </w:rPr>
              <w:t>CAPEX / OPEX</w:t>
            </w:r>
          </w:p>
        </w:tc>
        <w:tc>
          <w:tcPr>
            <w:tcW w:w="6382"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5ED1FCE1" w14:textId="77777777" w:rsidR="004D058E" w:rsidRDefault="00AA4F1F">
            <w:pPr>
              <w:spacing w:after="20"/>
            </w:pPr>
            <w:r>
              <w:rPr>
                <w:sz w:val="16"/>
                <w:szCs w:val="16"/>
              </w:rPr>
              <w:t>800 horas-hombre / cómputo, Azure OpenAI, almacenamiento de audio y Service Bus</w:t>
            </w:r>
          </w:p>
        </w:tc>
      </w:tr>
      <w:tr w:rsidR="004D058E" w14:paraId="59237390" w14:textId="77777777">
        <w:trPr>
          <w:cantSplit/>
        </w:trPr>
        <w:tc>
          <w:tcPr>
            <w:tcW w:w="3030"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639B1BA2" w14:textId="77777777" w:rsidR="004D058E" w:rsidRDefault="00AA4F1F">
            <w:pPr>
              <w:spacing w:after="20"/>
            </w:pPr>
            <w:r>
              <w:rPr>
                <w:sz w:val="16"/>
                <w:szCs w:val="16"/>
              </w:rPr>
              <w:t>Beneficios</w:t>
            </w:r>
          </w:p>
        </w:tc>
        <w:tc>
          <w:tcPr>
            <w:tcW w:w="6382"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507FFD40" w14:textId="77777777" w:rsidR="004D058E" w:rsidRDefault="00AA4F1F">
            <w:pPr>
              <w:spacing w:after="20"/>
            </w:pPr>
            <w:r>
              <w:rPr>
                <w:sz w:val="16"/>
                <w:szCs w:val="16"/>
              </w:rPr>
              <w:t>TTR −15 %; recargo de 20 % en suscripciones UK y Europa</w:t>
            </w:r>
          </w:p>
        </w:tc>
      </w:tr>
      <w:tr w:rsidR="004D058E" w14:paraId="688F7AFD" w14:textId="77777777">
        <w:trPr>
          <w:cantSplit/>
        </w:trPr>
        <w:tc>
          <w:tcPr>
            <w:tcW w:w="3030"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40154A0F" w14:textId="77777777" w:rsidR="004D058E" w:rsidRDefault="00AA4F1F">
            <w:pPr>
              <w:spacing w:after="20"/>
            </w:pPr>
            <w:r>
              <w:rPr>
                <w:sz w:val="16"/>
                <w:szCs w:val="16"/>
              </w:rPr>
              <w:t>Restricciones inyectadas</w:t>
            </w:r>
          </w:p>
        </w:tc>
        <w:tc>
          <w:tcPr>
            <w:tcW w:w="6382"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0BC6E6C3" w14:textId="77777777" w:rsidR="004D058E" w:rsidRDefault="00AA4F1F">
            <w:pPr>
              <w:spacing w:after="20"/>
            </w:pPr>
            <w:r>
              <w:rPr>
                <w:sz w:val="16"/>
                <w:szCs w:val="16"/>
              </w:rPr>
              <w:t>R1: respuesta &lt; 200 ms y cifrado en tránsito con SAS (UK GDPR); R2: aislamiento estricto batch / tiempo real</w:t>
            </w:r>
          </w:p>
        </w:tc>
      </w:tr>
    </w:tbl>
    <w:p w14:paraId="636E25EF" w14:textId="77777777" w:rsidR="004D058E" w:rsidRDefault="00AA4F1F">
      <w:pPr>
        <w:spacing w:after="120" w:line="276" w:lineRule="auto"/>
        <w:jc w:val="both"/>
      </w:pPr>
      <w:r>
        <w:t xml:space="preserve">Ambos umbrales se reportan por separado: </w:t>
      </w:r>
      <w:r>
        <w:rPr>
          <w:b/>
          <w:bCs/>
        </w:rPr>
        <w:t>&lt; 250 ms es el KPI oficial</w:t>
      </w:r>
      <w:r>
        <w:t xml:space="preserve"> del caso y </w:t>
      </w:r>
      <w:r>
        <w:rPr>
          <w:b/>
          <w:bCs/>
        </w:rPr>
        <w:t>&lt; 200 ms es la meta interna de la PoC</w:t>
      </w:r>
      <w:r>
        <w:t xml:space="preserve">, adoptada por la restricción </w:t>
      </w:r>
      <w:r>
        <w:t>R1. Este caso es independiente del proyecto de empresa TryAIGap: no se usa ninguna cifra, cronograma ni resultado de TryAIGap.</w:t>
      </w:r>
    </w:p>
    <w:p w14:paraId="13B21C7E" w14:textId="77777777" w:rsidR="004D058E" w:rsidRDefault="00AA4F1F">
      <w:pPr>
        <w:pStyle w:val="Ttulo1"/>
        <w:pageBreakBefore/>
      </w:pPr>
      <w:bookmarkStart w:id="2" w:name="_Toc244016971"/>
      <w:r>
        <w:lastRenderedPageBreak/>
        <w:t>3. Arquitectura actual e integración propuesta</w:t>
      </w:r>
      <w:bookmarkEnd w:id="2"/>
    </w:p>
    <w:p w14:paraId="32FBB902" w14:textId="77777777" w:rsidR="004D058E" w:rsidRDefault="00AA4F1F">
      <w:pPr>
        <w:spacing w:after="120" w:line="276" w:lineRule="auto"/>
        <w:jc w:val="both"/>
      </w:pPr>
      <w:r>
        <w:t xml:space="preserve">La PoC separa dos caminos aislados. El </w:t>
      </w:r>
      <w:r>
        <w:rPr>
          <w:b/>
          <w:bCs/>
        </w:rPr>
        <w:t>camino caliente</w:t>
      </w:r>
      <w:r>
        <w:t xml:space="preserve"> (</w:t>
      </w:r>
      <w:r>
        <w:rPr>
          <w:rFonts w:ascii="Consolas" w:eastAsia="Consolas" w:hAnsi="Consolas" w:cs="Consolas"/>
          <w:color w:val="7A2463"/>
          <w:sz w:val="19"/>
          <w:szCs w:val="19"/>
        </w:rPr>
        <w:t>services/inference_api</w:t>
      </w:r>
      <w:r>
        <w:t xml:space="preserve">) recibe el audio del cliente por WebSocket, extrae rasgos prosódicos y evalúa con NumPy un modelo causal ya ajustado, sin DoWhy ni EconML. El </w:t>
      </w:r>
      <w:r>
        <w:rPr>
          <w:b/>
          <w:bCs/>
        </w:rPr>
        <w:t>camino frío</w:t>
      </w:r>
      <w:r>
        <w:t xml:space="preserve"> (</w:t>
      </w:r>
      <w:r>
        <w:rPr>
          <w:rFonts w:ascii="Consolas" w:eastAsia="Consolas" w:hAnsi="Consolas" w:cs="Consolas"/>
          <w:color w:val="7A2463"/>
          <w:sz w:val="19"/>
          <w:szCs w:val="19"/>
        </w:rPr>
        <w:t>services/batch_pipeline</w:t>
      </w:r>
      <w:r>
        <w:t>) entrena, refuta, valida y publica el modelo, y genera</w:t>
      </w:r>
      <w:r>
        <w:t xml:space="preserve"> la explicación post-llamada con Azure OpenAI. El único contrato entre ambos es el modelo aprobado (JSON + SHA-256) incluido en la imagen de la API; la mensajería es de una vía (la API solo emite </w:t>
      </w:r>
      <w:r>
        <w:rPr>
          <w:rFonts w:ascii="Consolas" w:eastAsia="Consolas" w:hAnsi="Consolas" w:cs="Consolas"/>
          <w:color w:val="7A2463"/>
          <w:sz w:val="19"/>
          <w:szCs w:val="19"/>
        </w:rPr>
        <w:t>call.closed</w:t>
      </w:r>
      <w:r>
        <w:t>).</w:t>
      </w:r>
    </w:p>
    <w:p w14:paraId="7DF55425" w14:textId="77777777" w:rsidR="004D058E" w:rsidRDefault="00AA4F1F">
      <w:pPr>
        <w:keepNext/>
        <w:spacing w:before="60" w:after="40"/>
        <w:jc w:val="center"/>
      </w:pPr>
      <w:r>
        <w:rPr>
          <w:noProof/>
        </w:rPr>
        <w:drawing>
          <wp:inline distT="0" distB="0" distL="0" distR="0" wp14:anchorId="0EBC9A2F" wp14:editId="7473BA23">
            <wp:extent cx="4095750" cy="4305300"/>
            <wp:effectExtent l="0" t="0" r="0" b="0"/>
            <wp:docPr id="1" name="png/a1.png" descr="png/a1.png" title="png/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4305300"/>
                    </a:xfrm>
                    <a:prstGeom prst="rect">
                      <a:avLst/>
                    </a:prstGeom>
                  </pic:spPr>
                </pic:pic>
              </a:graphicData>
            </a:graphic>
          </wp:inline>
        </w:drawing>
      </w:r>
    </w:p>
    <w:p w14:paraId="47AA0827" w14:textId="77777777" w:rsidR="004D058E" w:rsidRDefault="00AA4F1F">
      <w:pPr>
        <w:spacing w:before="60" w:after="200"/>
        <w:jc w:val="center"/>
      </w:pPr>
      <w:r>
        <w:rPr>
          <w:i/>
          <w:iCs/>
          <w:color w:val="5C7390"/>
          <w:sz w:val="18"/>
          <w:szCs w:val="18"/>
        </w:rPr>
        <w:t>Figura 3.1. C4 Nivel 1 — Contexto de la inte</w:t>
      </w:r>
      <w:r>
        <w:rPr>
          <w:i/>
          <w:iCs/>
          <w:color w:val="5C7390"/>
          <w:sz w:val="18"/>
          <w:szCs w:val="18"/>
        </w:rPr>
        <w:t>gración.</w:t>
      </w:r>
    </w:p>
    <w:p w14:paraId="61078B9E" w14:textId="77777777" w:rsidR="004D058E" w:rsidRDefault="00AA4F1F">
      <w:pPr>
        <w:keepNext/>
        <w:spacing w:before="60" w:after="40"/>
        <w:jc w:val="center"/>
      </w:pPr>
      <w:r>
        <w:rPr>
          <w:noProof/>
        </w:rPr>
        <w:lastRenderedPageBreak/>
        <w:drawing>
          <wp:inline distT="0" distB="0" distL="0" distR="0" wp14:anchorId="16B8D258" wp14:editId="4B6A36BC">
            <wp:extent cx="4095750" cy="6572250"/>
            <wp:effectExtent l="0" t="0" r="0" b="0"/>
            <wp:docPr id="2" name="png/a2.png" descr="png/a2.png" title="png/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6572250"/>
                    </a:xfrm>
                    <a:prstGeom prst="rect">
                      <a:avLst/>
                    </a:prstGeom>
                  </pic:spPr>
                </pic:pic>
              </a:graphicData>
            </a:graphic>
          </wp:inline>
        </w:drawing>
      </w:r>
    </w:p>
    <w:p w14:paraId="7984293A" w14:textId="77777777" w:rsidR="004D058E" w:rsidRDefault="00AA4F1F">
      <w:pPr>
        <w:spacing w:before="60" w:after="200"/>
        <w:jc w:val="center"/>
      </w:pPr>
      <w:r>
        <w:rPr>
          <w:i/>
          <w:iCs/>
          <w:color w:val="5C7390"/>
          <w:sz w:val="18"/>
          <w:szCs w:val="18"/>
        </w:rPr>
        <w:t>Figura 3.2. C4 Nivel 2 — Contenedores (naranja: Vox-Causal; azul acero: existente de Alloxentric).</w:t>
      </w:r>
    </w:p>
    <w:p w14:paraId="5E2E876F" w14:textId="77777777" w:rsidR="004D058E" w:rsidRDefault="00AA4F1F">
      <w:pPr>
        <w:keepNext/>
        <w:spacing w:before="60" w:after="40"/>
        <w:jc w:val="center"/>
      </w:pPr>
      <w:r>
        <w:rPr>
          <w:noProof/>
        </w:rPr>
        <w:lastRenderedPageBreak/>
        <w:drawing>
          <wp:inline distT="0" distB="0" distL="0" distR="0" wp14:anchorId="44C2B00D" wp14:editId="7BE8AFD2">
            <wp:extent cx="5334000" cy="4876800"/>
            <wp:effectExtent l="0" t="0" r="0" b="0"/>
            <wp:docPr id="3" name="png/a3.png" descr="png/a3.png" title="png/a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876800"/>
                    </a:xfrm>
                    <a:prstGeom prst="rect">
                      <a:avLst/>
                    </a:prstGeom>
                  </pic:spPr>
                </pic:pic>
              </a:graphicData>
            </a:graphic>
          </wp:inline>
        </w:drawing>
      </w:r>
    </w:p>
    <w:p w14:paraId="3A0EA6C9" w14:textId="77777777" w:rsidR="004D058E" w:rsidRDefault="00AA4F1F">
      <w:pPr>
        <w:spacing w:before="60" w:after="200"/>
        <w:jc w:val="center"/>
      </w:pPr>
      <w:r>
        <w:rPr>
          <w:i/>
          <w:iCs/>
          <w:color w:val="5C7390"/>
          <w:sz w:val="18"/>
          <w:szCs w:val="18"/>
        </w:rPr>
        <w:t>Figura 3.3. C4 Nivel 3 — Componentes de inference_api y batch_pipeline con los nombres de los módulos.</w:t>
      </w:r>
    </w:p>
    <w:p w14:paraId="5F21315A" w14:textId="77777777" w:rsidR="004D058E" w:rsidRDefault="00AA4F1F">
      <w:pPr>
        <w:spacing w:after="120" w:line="276" w:lineRule="auto"/>
        <w:jc w:val="both"/>
      </w:pPr>
      <w:r>
        <w:t xml:space="preserve">Trazabilidad: la versión del repositorio incluye </w:t>
      </w:r>
      <w:r>
        <w:rPr>
          <w:rFonts w:ascii="Consolas" w:eastAsia="Consolas" w:hAnsi="Consolas" w:cs="Consolas"/>
          <w:color w:val="7A2463"/>
          <w:sz w:val="19"/>
          <w:szCs w:val="19"/>
        </w:rPr>
        <w:t>tools/architecture_claims.py</w:t>
      </w:r>
      <w:r>
        <w:t xml:space="preserve">, con </w:t>
      </w:r>
      <w:r>
        <w:rPr>
          <w:b/>
          <w:bCs/>
        </w:rPr>
        <w:t>51 afirmaciones de los diagramas</w:t>
      </w:r>
      <w:r>
        <w:t xml:space="preserve"> (N1: 8; N2: 16; N3 API: 12; N3 batch:</w:t>
      </w:r>
      <w:r>
        <w:t xml:space="preserve"> 9; pipeline: 6) que se comprueban contra el código en CI; las 51 aprobaron en la reproducción. Son comprobaciones estáticas sobre el código y sobre los resultados guardados en el repositorio, no mediciones nuevas.</w:t>
      </w:r>
    </w:p>
    <w:p w14:paraId="176F3CB7" w14:textId="77777777" w:rsidR="004D058E" w:rsidRDefault="00AA4F1F">
      <w:pPr>
        <w:keepNext/>
        <w:spacing w:before="160" w:after="80"/>
      </w:pPr>
      <w:r>
        <w:rPr>
          <w:b/>
          <w:bCs/>
          <w:color w:val="1B3A5F"/>
          <w:sz w:val="19"/>
          <w:szCs w:val="19"/>
        </w:rPr>
        <w:t>Tabla 3.1. Clasificación de las afirmacio</w:t>
      </w:r>
      <w:r>
        <w:rPr>
          <w:b/>
          <w:bCs/>
          <w:color w:val="1B3A5F"/>
          <w:sz w:val="19"/>
          <w:szCs w:val="19"/>
        </w:rPr>
        <w:t>nes sobre Azure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3"/>
        <w:gridCol w:w="4945"/>
        <w:gridCol w:w="2394"/>
      </w:tblGrid>
      <w:tr w:rsidR="004D058E" w14:paraId="3A171C87" w14:textId="77777777">
        <w:trPr>
          <w:cantSplit/>
          <w:tblHeader/>
        </w:trPr>
        <w:tc>
          <w:tcPr>
            <w:tcW w:w="2073"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2178E4FD" w14:textId="77777777" w:rsidR="004D058E" w:rsidRDefault="00AA4F1F">
            <w:pPr>
              <w:spacing w:after="20"/>
            </w:pPr>
            <w:r>
              <w:rPr>
                <w:b/>
                <w:bCs/>
                <w:color w:val="FFFFFF"/>
                <w:sz w:val="15"/>
                <w:szCs w:val="15"/>
              </w:rPr>
              <w:t>Nivel</w:t>
            </w:r>
          </w:p>
        </w:tc>
        <w:tc>
          <w:tcPr>
            <w:tcW w:w="4945"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35F593B4" w14:textId="77777777" w:rsidR="004D058E" w:rsidRDefault="00AA4F1F">
            <w:pPr>
              <w:spacing w:after="20"/>
            </w:pPr>
            <w:r>
              <w:rPr>
                <w:b/>
                <w:bCs/>
                <w:color w:val="FFFFFF"/>
                <w:sz w:val="15"/>
                <w:szCs w:val="15"/>
              </w:rPr>
              <w:t>Elementos</w:t>
            </w:r>
          </w:p>
        </w:tc>
        <w:tc>
          <w:tcPr>
            <w:tcW w:w="2394"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29303968" w14:textId="77777777" w:rsidR="004D058E" w:rsidRDefault="00AA4F1F">
            <w:pPr>
              <w:spacing w:after="20"/>
            </w:pPr>
            <w:r>
              <w:rPr>
                <w:b/>
                <w:bCs/>
                <w:color w:val="FFFFFF"/>
                <w:sz w:val="15"/>
                <w:szCs w:val="15"/>
              </w:rPr>
              <w:t>Evidencia</w:t>
            </w:r>
          </w:p>
        </w:tc>
      </w:tr>
      <w:tr w:rsidR="004D058E" w14:paraId="5C7A51A7" w14:textId="77777777">
        <w:trPr>
          <w:cantSplit/>
        </w:trPr>
        <w:tc>
          <w:tcPr>
            <w:tcW w:w="2073"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23AE4767" w14:textId="77777777" w:rsidR="004D058E" w:rsidRDefault="00AA4F1F">
            <w:pPr>
              <w:spacing w:after="20"/>
            </w:pPr>
            <w:r>
              <w:rPr>
                <w:sz w:val="15"/>
                <w:szCs w:val="15"/>
              </w:rPr>
              <w:t>Implementado y probado localmente</w:t>
            </w:r>
          </w:p>
        </w:tc>
        <w:tc>
          <w:tcPr>
            <w:tcW w:w="4945"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6FF60485" w14:textId="77777777" w:rsidR="004D058E" w:rsidRDefault="00AA4F1F">
            <w:pPr>
              <w:spacing w:after="20"/>
            </w:pPr>
            <w:r>
              <w:rPr>
                <w:sz w:val="15"/>
                <w:szCs w:val="15"/>
              </w:rPr>
              <w:t>API WebSocket con admisión (1013) y verificación SHA-256; pipeline con gate ATE y refutaciones; emisión de User Delegation SAS (solo lectura, spr=https, 5 min); seudonimización HMAC; outbox ante caída de Service Bus; aislamiento de dependencias</w:t>
            </w:r>
          </w:p>
        </w:tc>
        <w:tc>
          <w:tcPr>
            <w:tcW w:w="2394"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4C1854CE" w14:textId="77777777" w:rsidR="004D058E" w:rsidRDefault="00AA4F1F">
            <w:pPr>
              <w:spacing w:after="20"/>
            </w:pPr>
            <w:r>
              <w:rPr>
                <w:sz w:val="15"/>
                <w:szCs w:val="15"/>
              </w:rPr>
              <w:t>114 pruebas</w:t>
            </w:r>
            <w:r>
              <w:rPr>
                <w:sz w:val="15"/>
                <w:szCs w:val="15"/>
              </w:rPr>
              <w:t xml:space="preserve"> reproducidas (dobles de prueba para servicios Azure)</w:t>
            </w:r>
          </w:p>
        </w:tc>
      </w:tr>
      <w:tr w:rsidR="004D058E" w14:paraId="32950242" w14:textId="77777777">
        <w:trPr>
          <w:cantSplit/>
        </w:trPr>
        <w:tc>
          <w:tcPr>
            <w:tcW w:w="2073"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5B9B664F" w14:textId="77777777" w:rsidR="004D058E" w:rsidRDefault="00AA4F1F">
            <w:pPr>
              <w:spacing w:after="20"/>
            </w:pPr>
            <w:r>
              <w:rPr>
                <w:sz w:val="15"/>
                <w:szCs w:val="15"/>
              </w:rPr>
              <w:t>Configurado para Azure (no ejecutado)</w:t>
            </w:r>
          </w:p>
        </w:tc>
        <w:tc>
          <w:tcPr>
            <w:tcW w:w="4945"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73B0BB17" w14:textId="77777777" w:rsidR="004D058E" w:rsidRDefault="00AA4F1F">
            <w:pPr>
              <w:spacing w:after="20"/>
            </w:pPr>
            <w:r>
              <w:rPr>
                <w:sz w:val="15"/>
                <w:szCs w:val="15"/>
              </w:rPr>
              <w:t>deploy.sh: Container Apps, VNets sin peering, Service Bus Basic solo Entra ID, Storage sin claves compartidas, Key Vault RBAC, 3 identidades; verify.sh; Dockerfiles; workflow de CI</w:t>
            </w:r>
          </w:p>
        </w:tc>
        <w:tc>
          <w:tcPr>
            <w:tcW w:w="2394"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5E064BC1" w14:textId="77777777" w:rsidR="004D058E" w:rsidRDefault="00AA4F1F">
            <w:pPr>
              <w:spacing w:after="20"/>
            </w:pPr>
            <w:r>
              <w:rPr>
                <w:sz w:val="15"/>
                <w:szCs w:val="15"/>
              </w:rPr>
              <w:t>Scripts y archivos revisados; no se ejecutaron</w:t>
            </w:r>
          </w:p>
        </w:tc>
      </w:tr>
      <w:tr w:rsidR="004D058E" w14:paraId="6ADD3C9D" w14:textId="77777777">
        <w:trPr>
          <w:cantSplit/>
        </w:trPr>
        <w:tc>
          <w:tcPr>
            <w:tcW w:w="2073"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19845AF9" w14:textId="77777777" w:rsidR="004D058E" w:rsidRDefault="00AA4F1F">
            <w:pPr>
              <w:spacing w:after="20"/>
            </w:pPr>
            <w:r>
              <w:rPr>
                <w:sz w:val="15"/>
                <w:szCs w:val="15"/>
              </w:rPr>
              <w:t>Desplegado en Azure</w:t>
            </w:r>
          </w:p>
        </w:tc>
        <w:tc>
          <w:tcPr>
            <w:tcW w:w="4945"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05A2B064" w14:textId="77777777" w:rsidR="004D058E" w:rsidRDefault="00AA4F1F">
            <w:pPr>
              <w:spacing w:after="20"/>
            </w:pPr>
            <w:r>
              <w:rPr>
                <w:sz w:val="15"/>
                <w:szCs w:val="15"/>
              </w:rPr>
              <w:t>Ninguno</w:t>
            </w:r>
          </w:p>
        </w:tc>
        <w:tc>
          <w:tcPr>
            <w:tcW w:w="2394"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4D55AD11" w14:textId="77777777" w:rsidR="004D058E" w:rsidRDefault="00AA4F1F">
            <w:pPr>
              <w:spacing w:after="20"/>
            </w:pPr>
            <w:r>
              <w:rPr>
                <w:sz w:val="15"/>
                <w:szCs w:val="15"/>
              </w:rPr>
              <w:t>No hay salida de deploy.sh en el paquete</w:t>
            </w:r>
          </w:p>
        </w:tc>
      </w:tr>
      <w:tr w:rsidR="004D058E" w14:paraId="2E4144F0" w14:textId="77777777">
        <w:trPr>
          <w:cantSplit/>
        </w:trPr>
        <w:tc>
          <w:tcPr>
            <w:tcW w:w="2073"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446B5243" w14:textId="77777777" w:rsidR="004D058E" w:rsidRDefault="00AA4F1F">
            <w:pPr>
              <w:spacing w:after="20"/>
            </w:pPr>
            <w:r>
              <w:rPr>
                <w:sz w:val="15"/>
                <w:szCs w:val="15"/>
              </w:rPr>
              <w:t>Verificado con pruebas reales en Azure</w:t>
            </w:r>
          </w:p>
        </w:tc>
        <w:tc>
          <w:tcPr>
            <w:tcW w:w="4945"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643FBEA9" w14:textId="77777777" w:rsidR="004D058E" w:rsidRDefault="00AA4F1F">
            <w:pPr>
              <w:spacing w:after="20"/>
            </w:pPr>
            <w:r>
              <w:rPr>
                <w:sz w:val="15"/>
                <w:szCs w:val="15"/>
              </w:rPr>
              <w:t>Ninguno</w:t>
            </w:r>
          </w:p>
        </w:tc>
        <w:tc>
          <w:tcPr>
            <w:tcW w:w="2394"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7C824FED" w14:textId="77777777" w:rsidR="004D058E" w:rsidRDefault="00AA4F1F">
            <w:pPr>
              <w:spacing w:after="20"/>
            </w:pPr>
            <w:r>
              <w:rPr>
                <w:sz w:val="15"/>
                <w:szCs w:val="15"/>
              </w:rPr>
              <w:t>No existe evidencia-azure.txt</w:t>
            </w:r>
          </w:p>
        </w:tc>
      </w:tr>
      <w:tr w:rsidR="004D058E" w14:paraId="2297DD00" w14:textId="77777777">
        <w:trPr>
          <w:cantSplit/>
        </w:trPr>
        <w:tc>
          <w:tcPr>
            <w:tcW w:w="2073"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18FE7F2F" w14:textId="77777777" w:rsidR="004D058E" w:rsidRDefault="00AA4F1F">
            <w:pPr>
              <w:spacing w:after="20"/>
            </w:pPr>
            <w:r>
              <w:rPr>
                <w:sz w:val="15"/>
                <w:szCs w:val="15"/>
              </w:rPr>
              <w:t>Propuesto (diseño productivo)</w:t>
            </w:r>
          </w:p>
        </w:tc>
        <w:tc>
          <w:tcPr>
            <w:tcW w:w="4945"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7661F94D" w14:textId="77777777" w:rsidR="004D058E" w:rsidRDefault="00AA4F1F">
            <w:pPr>
              <w:spacing w:after="20"/>
            </w:pPr>
            <w:r>
              <w:rPr>
                <w:sz w:val="15"/>
                <w:szCs w:val="15"/>
              </w:rPr>
              <w:t>APIM Standard v2 como gateway WebSocket; Service Bus Premium con Private Endpoints; prueba de carga de 1.500 llamadas en UK South</w:t>
            </w:r>
          </w:p>
        </w:tc>
        <w:tc>
          <w:tcPr>
            <w:tcW w:w="2394"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27A5E6E6" w14:textId="77777777" w:rsidR="004D058E" w:rsidRDefault="00AA4F1F">
            <w:pPr>
              <w:spacing w:after="20"/>
            </w:pPr>
            <w:r>
              <w:rPr>
                <w:sz w:val="15"/>
                <w:szCs w:val="15"/>
              </w:rPr>
              <w:t>Incluido en el OPEX del modelo financiero</w:t>
            </w:r>
          </w:p>
        </w:tc>
      </w:tr>
    </w:tbl>
    <w:p w14:paraId="3705FB81" w14:textId="77777777" w:rsidR="004D058E" w:rsidRDefault="00AA4F1F">
      <w:pPr>
        <w:spacing w:after="120" w:line="276" w:lineRule="auto"/>
        <w:jc w:val="both"/>
      </w:pPr>
      <w:r>
        <w:t xml:space="preserve">Una SAS </w:t>
      </w:r>
      <w:r>
        <w:rPr>
          <w:b/>
          <w:bCs/>
        </w:rPr>
        <w:t>autoriza, pero no cifra</w:t>
      </w:r>
      <w:r>
        <w:t xml:space="preserve">: el cifrado en tránsito lo aporta TLS 1.2+ (la PoC emite SAS con </w:t>
      </w:r>
      <w:r>
        <w:rPr>
          <w:rFonts w:ascii="Consolas" w:eastAsia="Consolas" w:hAnsi="Consolas" w:cs="Consolas"/>
          <w:color w:val="7A2463"/>
          <w:sz w:val="19"/>
          <w:szCs w:val="19"/>
        </w:rPr>
        <w:t>spr=https</w:t>
      </w:r>
      <w:r>
        <w:t xml:space="preserve"> y la cuenta exige TLS 1.2); el cifrado en reposo es el predeterminado de Azure Storage y no se verificó.</w:t>
      </w:r>
    </w:p>
    <w:p w14:paraId="7B8E47AC" w14:textId="77777777" w:rsidR="004D058E" w:rsidRDefault="00AA4F1F">
      <w:pPr>
        <w:pStyle w:val="Ttulo1"/>
        <w:pageBreakBefore/>
      </w:pPr>
      <w:bookmarkStart w:id="3" w:name="_Toc244016972"/>
      <w:r>
        <w:lastRenderedPageBreak/>
        <w:t>4. Pipeline MLOps e incidente de latencia y aislamiento</w:t>
      </w:r>
      <w:bookmarkEnd w:id="3"/>
    </w:p>
    <w:p w14:paraId="1C607A16" w14:textId="77777777" w:rsidR="004D058E" w:rsidRDefault="00AA4F1F">
      <w:pPr>
        <w:spacing w:after="120" w:line="276" w:lineRule="auto"/>
        <w:jc w:val="both"/>
      </w:pPr>
      <w:r>
        <w:t xml:space="preserve">El camino caliente </w:t>
      </w:r>
      <w:r>
        <w:t>procesa ventanas de 1 s con salto de 500 ms; si llegan varias ventanas juntas evalúa solo la más reciente (coalescencia). Cada réplica acepta hasta 180 sesiones y cierra las excedentes con el código 1013 para que se reasignen. Si el artefacto no coincide c</w:t>
      </w:r>
      <w:r>
        <w:t xml:space="preserve">on su SHA-256, la API opera en modo degradado. En el camino frío, un modelo solo se publica si el error ATE es ≤ 0,05 y aprueba las refutaciones; si no, queda en </w:t>
      </w:r>
      <w:r>
        <w:rPr>
          <w:rFonts w:ascii="Consolas" w:eastAsia="Consolas" w:hAnsi="Consolas" w:cs="Consolas"/>
          <w:color w:val="7A2463"/>
          <w:sz w:val="19"/>
          <w:szCs w:val="19"/>
        </w:rPr>
        <w:t>rejected</w:t>
      </w:r>
      <w:r>
        <w:t xml:space="preserve"> y la API conserva la versión anterior.</w:t>
      </w:r>
    </w:p>
    <w:p w14:paraId="3C386759" w14:textId="77777777" w:rsidR="004D058E" w:rsidRDefault="00AA4F1F">
      <w:pPr>
        <w:keepNext/>
        <w:spacing w:before="60" w:after="40"/>
        <w:jc w:val="center"/>
      </w:pPr>
      <w:r>
        <w:rPr>
          <w:noProof/>
        </w:rPr>
        <w:drawing>
          <wp:inline distT="0" distB="0" distL="0" distR="0" wp14:anchorId="28AE07F9" wp14:editId="37749886">
            <wp:extent cx="2714625" cy="4848225"/>
            <wp:effectExtent l="0" t="0" r="0" b="0"/>
            <wp:docPr id="4" name="png/a4.png" descr="png/a4.png" title="png/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14625" cy="4848225"/>
                    </a:xfrm>
                    <a:prstGeom prst="rect">
                      <a:avLst/>
                    </a:prstGeom>
                  </pic:spPr>
                </pic:pic>
              </a:graphicData>
            </a:graphic>
          </wp:inline>
        </w:drawing>
      </w:r>
    </w:p>
    <w:p w14:paraId="5AE19480" w14:textId="77777777" w:rsidR="004D058E" w:rsidRDefault="00AA4F1F">
      <w:pPr>
        <w:spacing w:before="60" w:after="200"/>
        <w:jc w:val="center"/>
      </w:pPr>
      <w:r>
        <w:rPr>
          <w:i/>
          <w:iCs/>
          <w:color w:val="5C7390"/>
          <w:sz w:val="18"/>
          <w:szCs w:val="18"/>
        </w:rPr>
        <w:t xml:space="preserve">Figura 4.1. Pipeline MLOps de la PoC con la </w:t>
      </w:r>
      <w:r>
        <w:rPr>
          <w:i/>
          <w:iCs/>
          <w:color w:val="5C7390"/>
          <w:sz w:val="18"/>
          <w:szCs w:val="18"/>
        </w:rPr>
        <w:t>resolución del incidente.</w:t>
      </w:r>
    </w:p>
    <w:p w14:paraId="1B0AE42B" w14:textId="77777777" w:rsidR="004D058E" w:rsidRDefault="00AA4F1F">
      <w:pPr>
        <w:pStyle w:val="Ttulo2"/>
      </w:pPr>
      <w:bookmarkStart w:id="4" w:name="_Toc244016973"/>
      <w:r>
        <w:t>4.1 Resolución del incidente (R1 y R2)</w:t>
      </w:r>
      <w:bookmarkEnd w:id="4"/>
    </w:p>
    <w:p w14:paraId="0BE00E28" w14:textId="77777777" w:rsidR="004D058E" w:rsidRDefault="00AA4F1F">
      <w:pPr>
        <w:pStyle w:val="Prrafodelista"/>
        <w:numPr>
          <w:ilvl w:val="0"/>
          <w:numId w:val="2"/>
        </w:numPr>
        <w:spacing w:after="60" w:line="264" w:lineRule="auto"/>
      </w:pPr>
      <w:r>
        <w:rPr>
          <w:b/>
          <w:bCs/>
        </w:rPr>
        <w:t>Latencia (R1)</w:t>
      </w:r>
      <w:r>
        <w:t>: Service Bus, Azure OpenAI y la estimación causal quedan fuera del camino en vivo; el costo de servidor por ventana es de 2,9 ms en p95 (reproducido).</w:t>
      </w:r>
    </w:p>
    <w:p w14:paraId="2D8BC16A" w14:textId="77777777" w:rsidR="004D058E" w:rsidRDefault="00AA4F1F">
      <w:pPr>
        <w:pStyle w:val="Prrafodelista"/>
        <w:numPr>
          <w:ilvl w:val="0"/>
          <w:numId w:val="2"/>
        </w:numPr>
        <w:spacing w:after="60" w:line="264" w:lineRule="auto"/>
      </w:pPr>
      <w:r>
        <w:rPr>
          <w:b/>
          <w:bCs/>
        </w:rPr>
        <w:t>Protección de datos (R1)</w:t>
      </w:r>
      <w:r>
        <w:t xml:space="preserve">: </w:t>
      </w:r>
      <w:r>
        <w:t>TLS 1.2+ en todo salto; SAS de delegación de usuario fuera de la ruta en vivo; identificador de llamada seudonimizado con HMAC-SHA256; el audio en vivo no se persiste; el canal del operador se rechaza (AI Act, art. 5.1.f).</w:t>
      </w:r>
    </w:p>
    <w:p w14:paraId="6587D1C7" w14:textId="77777777" w:rsidR="004D058E" w:rsidRDefault="00AA4F1F">
      <w:pPr>
        <w:pStyle w:val="Prrafodelista"/>
        <w:numPr>
          <w:ilvl w:val="0"/>
          <w:numId w:val="2"/>
        </w:numPr>
        <w:spacing w:after="60" w:line="264" w:lineRule="auto"/>
      </w:pPr>
      <w:r>
        <w:rPr>
          <w:b/>
          <w:bCs/>
        </w:rPr>
        <w:t>Aislamiento batch/online (R2)</w:t>
      </w:r>
      <w:r>
        <w:t>: im</w:t>
      </w:r>
      <w:r>
        <w:t>ágenes, entornos de Container Apps, VNets sin peering, identidades y permisos separados; una prueba de arquitectura falla el CI si la API importa DoWhy, EconML, pandas o scikit-learn.</w:t>
      </w:r>
    </w:p>
    <w:p w14:paraId="2687AA11" w14:textId="77777777" w:rsidR="004D058E" w:rsidRDefault="00AA4F1F">
      <w:pPr>
        <w:pStyle w:val="Prrafodelista"/>
        <w:numPr>
          <w:ilvl w:val="0"/>
          <w:numId w:val="2"/>
        </w:numPr>
        <w:spacing w:after="60" w:line="264" w:lineRule="auto"/>
      </w:pPr>
      <w:r>
        <w:rPr>
          <w:b/>
          <w:bCs/>
        </w:rPr>
        <w:t>Riesgo residual</w:t>
      </w:r>
      <w:r>
        <w:t>: el estimador prosódico se calibró con voz sintética (MA</w:t>
      </w:r>
      <w:r>
        <w:t>E 0,041; R² 0,969, documentado); debe recalibrarse con un corpus real de Alloxentric bajo una DPIA aprobada.</w:t>
      </w:r>
    </w:p>
    <w:p w14:paraId="3D9421CC" w14:textId="77777777" w:rsidR="004D058E" w:rsidRDefault="00AA4F1F">
      <w:pPr>
        <w:pStyle w:val="Ttulo1"/>
        <w:pageBreakBefore/>
      </w:pPr>
      <w:bookmarkStart w:id="5" w:name="_Toc244016974"/>
      <w:r>
        <w:lastRenderedPageBreak/>
        <w:t>5. Calidad técnica: evidencia reproducida y documentada</w:t>
      </w:r>
      <w:bookmarkEnd w:id="5"/>
    </w:p>
    <w:p w14:paraId="76E15DDB" w14:textId="77777777" w:rsidR="004D058E" w:rsidRDefault="00AA4F1F">
      <w:pPr>
        <w:spacing w:after="120" w:line="276" w:lineRule="auto"/>
        <w:jc w:val="both"/>
      </w:pPr>
      <w:r>
        <w:t xml:space="preserve">Versión analizada: </w:t>
      </w:r>
      <w:r>
        <w:rPr>
          <w:rFonts w:ascii="Consolas" w:eastAsia="Consolas" w:hAnsi="Consolas" w:cs="Consolas"/>
          <w:color w:val="7A2463"/>
          <w:sz w:val="19"/>
          <w:szCs w:val="19"/>
        </w:rPr>
        <w:t>poc/vox‑causal</w:t>
      </w:r>
      <w:r>
        <w:t xml:space="preserve"> de </w:t>
      </w:r>
      <w:r>
        <w:rPr>
          <w:rFonts w:ascii="Consolas" w:eastAsia="Consolas" w:hAnsi="Consolas" w:cs="Consolas"/>
          <w:color w:val="7A2463"/>
          <w:sz w:val="19"/>
          <w:szCs w:val="19"/>
        </w:rPr>
        <w:t>Entrega_Parte2_Grupo1.zip</w:t>
      </w:r>
      <w:r>
        <w:t xml:space="preserve"> (114 pruebas). Frente a la versión de 62 pruebas reproducida antes, el código de ejecución (</w:t>
      </w:r>
      <w:r>
        <w:rPr>
          <w:rFonts w:ascii="Consolas" w:eastAsia="Consolas" w:hAnsi="Consolas" w:cs="Consolas"/>
          <w:color w:val="7A2463"/>
          <w:sz w:val="19"/>
          <w:szCs w:val="19"/>
        </w:rPr>
        <w:t>services/</w:t>
      </w:r>
      <w:r>
        <w:t xml:space="preserve">, </w:t>
      </w:r>
      <w:r>
        <w:rPr>
          <w:rFonts w:ascii="Consolas" w:eastAsia="Consolas" w:hAnsi="Consolas" w:cs="Consolas"/>
          <w:color w:val="7A2463"/>
          <w:sz w:val="19"/>
          <w:szCs w:val="19"/>
        </w:rPr>
        <w:t>libs/</w:t>
      </w:r>
      <w:r>
        <w:t xml:space="preserve">) es idéntico; se agregan </w:t>
      </w:r>
      <w:r>
        <w:rPr>
          <w:rFonts w:ascii="Consolas" w:eastAsia="Consolas" w:hAnsi="Consolas" w:cs="Consolas"/>
          <w:color w:val="7A2463"/>
          <w:sz w:val="19"/>
          <w:szCs w:val="19"/>
        </w:rPr>
        <w:t>tests/architecture/test_traceability.py</w:t>
      </w:r>
      <w:r>
        <w:t xml:space="preserve"> (52 pruebas: 51 afirmaciones de diagramas y 1 de consistencia de cifras), herrami</w:t>
      </w:r>
      <w:r>
        <w:t xml:space="preserve">entas de diagramas y el perfil por etapas </w:t>
      </w:r>
      <w:r>
        <w:rPr>
          <w:rFonts w:ascii="Consolas" w:eastAsia="Consolas" w:hAnsi="Consolas" w:cs="Consolas"/>
          <w:color w:val="7A2463"/>
          <w:sz w:val="19"/>
          <w:szCs w:val="19"/>
        </w:rPr>
        <w:t>bench/stage_profile.py</w:t>
      </w:r>
      <w:r>
        <w:t>. Entorno: Windows 10 (19045), Intel Core 12 núcleos lógicos, Python 3.12.4; API con afinidad a 1 núcleo (equivalente de taskset), cliente en otro núcleo; uvicorn sin uvloop (no existe en Wind</w:t>
      </w:r>
      <w:r>
        <w:t>ows); 27-10-2026. No se ejecutaron los scripts de despliegue.</w:t>
      </w:r>
    </w:p>
    <w:p w14:paraId="3EDA9717" w14:textId="77777777" w:rsidR="004D058E" w:rsidRDefault="00AA4F1F">
      <w:pPr>
        <w:keepNext/>
        <w:spacing w:before="160" w:after="80"/>
      </w:pPr>
      <w:r>
        <w:rPr>
          <w:b/>
          <w:bCs/>
          <w:color w:val="1B3A5F"/>
          <w:sz w:val="19"/>
          <w:szCs w:val="19"/>
        </w:rPr>
        <w:t>Tabla 5.1. Calidad del software y precisión causal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71"/>
        <w:gridCol w:w="2711"/>
        <w:gridCol w:w="3830"/>
      </w:tblGrid>
      <w:tr w:rsidR="004D058E" w14:paraId="28C08439" w14:textId="77777777">
        <w:trPr>
          <w:cantSplit/>
          <w:tblHeader/>
        </w:trPr>
        <w:tc>
          <w:tcPr>
            <w:tcW w:w="2871"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62E322FF" w14:textId="77777777" w:rsidR="004D058E" w:rsidRDefault="00AA4F1F">
            <w:pPr>
              <w:spacing w:after="20"/>
            </w:pPr>
            <w:r>
              <w:rPr>
                <w:b/>
                <w:bCs/>
                <w:color w:val="FFFFFF"/>
                <w:sz w:val="16"/>
                <w:szCs w:val="16"/>
              </w:rPr>
              <w:t>Indicador</w:t>
            </w:r>
          </w:p>
        </w:tc>
        <w:tc>
          <w:tcPr>
            <w:tcW w:w="2711"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3EC28214" w14:textId="77777777" w:rsidR="004D058E" w:rsidRDefault="00AA4F1F">
            <w:pPr>
              <w:spacing w:after="20"/>
            </w:pPr>
            <w:r>
              <w:rPr>
                <w:b/>
                <w:bCs/>
                <w:color w:val="FFFFFF"/>
                <w:sz w:val="16"/>
                <w:szCs w:val="16"/>
              </w:rPr>
              <w:t>Documentado por el equipo</w:t>
            </w:r>
          </w:p>
        </w:tc>
        <w:tc>
          <w:tcPr>
            <w:tcW w:w="3830"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47051341" w14:textId="77777777" w:rsidR="004D058E" w:rsidRDefault="00AA4F1F">
            <w:pPr>
              <w:spacing w:after="20"/>
            </w:pPr>
            <w:r>
              <w:rPr>
                <w:b/>
                <w:bCs/>
                <w:color w:val="FFFFFF"/>
                <w:sz w:val="16"/>
                <w:szCs w:val="16"/>
              </w:rPr>
              <w:t>Reproducido en este informe</w:t>
            </w:r>
          </w:p>
        </w:tc>
      </w:tr>
      <w:tr w:rsidR="004D058E" w14:paraId="3F42BE8E" w14:textId="77777777">
        <w:trPr>
          <w:cantSplit/>
        </w:trPr>
        <w:tc>
          <w:tcPr>
            <w:tcW w:w="2871"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7C9D4FDA" w14:textId="77777777" w:rsidR="004D058E" w:rsidRDefault="00AA4F1F">
            <w:pPr>
              <w:spacing w:after="20"/>
            </w:pPr>
            <w:r>
              <w:rPr>
                <w:sz w:val="16"/>
                <w:szCs w:val="16"/>
              </w:rPr>
              <w:t>Pruebas automatizadas</w:t>
            </w:r>
          </w:p>
        </w:tc>
        <w:tc>
          <w:tcPr>
            <w:tcW w:w="2711"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3A0D5389" w14:textId="77777777" w:rsidR="004D058E" w:rsidRDefault="00AA4F1F">
            <w:pPr>
              <w:spacing w:after="20"/>
            </w:pPr>
            <w:r>
              <w:rPr>
                <w:sz w:val="16"/>
                <w:szCs w:val="16"/>
              </w:rPr>
              <w:t>114 aprobadas</w:t>
            </w:r>
          </w:p>
        </w:tc>
        <w:tc>
          <w:tcPr>
            <w:tcW w:w="3830"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2C4A73A1" w14:textId="77777777" w:rsidR="004D058E" w:rsidRDefault="00AA4F1F">
            <w:pPr>
              <w:spacing w:after="20"/>
            </w:pPr>
            <w:r>
              <w:rPr>
                <w:sz w:val="16"/>
                <w:szCs w:val="16"/>
              </w:rPr>
              <w:t>114/114 en 340 s (con PYTHONUTF8=1 por decodificación cp1252 en Windows)</w:t>
            </w:r>
          </w:p>
        </w:tc>
      </w:tr>
      <w:tr w:rsidR="004D058E" w14:paraId="60DDCF9F" w14:textId="77777777">
        <w:trPr>
          <w:cantSplit/>
        </w:trPr>
        <w:tc>
          <w:tcPr>
            <w:tcW w:w="2871"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7E9529F8" w14:textId="77777777" w:rsidR="004D058E" w:rsidRDefault="00AA4F1F">
            <w:pPr>
              <w:spacing w:after="20"/>
            </w:pPr>
            <w:r>
              <w:rPr>
                <w:sz w:val="16"/>
                <w:szCs w:val="16"/>
              </w:rPr>
              <w:t>Cobertura (líneas + ramas)</w:t>
            </w:r>
          </w:p>
        </w:tc>
        <w:tc>
          <w:tcPr>
            <w:tcW w:w="2711"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3B780DDF" w14:textId="77777777" w:rsidR="004D058E" w:rsidRDefault="00AA4F1F">
            <w:pPr>
              <w:spacing w:after="20"/>
            </w:pPr>
            <w:r>
              <w:rPr>
                <w:sz w:val="16"/>
                <w:szCs w:val="16"/>
              </w:rPr>
              <w:t>95,9 %</w:t>
            </w:r>
          </w:p>
        </w:tc>
        <w:tc>
          <w:tcPr>
            <w:tcW w:w="3830"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07B90ABE" w14:textId="77777777" w:rsidR="004D058E" w:rsidRDefault="00AA4F1F">
            <w:pPr>
              <w:spacing w:after="20"/>
            </w:pPr>
            <w:r>
              <w:rPr>
                <w:sz w:val="16"/>
                <w:szCs w:val="16"/>
              </w:rPr>
              <w:t>96 % (980 sentencias, 146 ramas)</w:t>
            </w:r>
          </w:p>
        </w:tc>
      </w:tr>
      <w:tr w:rsidR="004D058E" w14:paraId="66EC03BB" w14:textId="77777777">
        <w:trPr>
          <w:cantSplit/>
        </w:trPr>
        <w:tc>
          <w:tcPr>
            <w:tcW w:w="2871"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3872F43C" w14:textId="77777777" w:rsidR="004D058E" w:rsidRDefault="00AA4F1F">
            <w:pPr>
              <w:spacing w:after="20"/>
            </w:pPr>
            <w:r>
              <w:rPr>
                <w:sz w:val="16"/>
                <w:szCs w:val="16"/>
              </w:rPr>
              <w:t>Ruff / complejidad (radon)</w:t>
            </w:r>
          </w:p>
        </w:tc>
        <w:tc>
          <w:tcPr>
            <w:tcW w:w="2711"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2D1063BC" w14:textId="77777777" w:rsidR="004D058E" w:rsidRDefault="00AA4F1F">
            <w:pPr>
              <w:spacing w:after="20"/>
            </w:pPr>
            <w:r>
              <w:rPr>
                <w:sz w:val="16"/>
                <w:szCs w:val="16"/>
              </w:rPr>
              <w:t>0 hallazgos / A (2,66); máx. C en train.run</w:t>
            </w:r>
          </w:p>
        </w:tc>
        <w:tc>
          <w:tcPr>
            <w:tcW w:w="3830"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68CEF724" w14:textId="77777777" w:rsidR="004D058E" w:rsidRDefault="00AA4F1F">
            <w:pPr>
              <w:spacing w:after="20"/>
            </w:pPr>
            <w:r>
              <w:rPr>
                <w:sz w:val="16"/>
                <w:szCs w:val="16"/>
              </w:rPr>
              <w:t>0 hallazgos / A (2,66); máx. C en train.run</w:t>
            </w:r>
          </w:p>
        </w:tc>
      </w:tr>
      <w:tr w:rsidR="004D058E" w14:paraId="37B719E4" w14:textId="77777777">
        <w:trPr>
          <w:cantSplit/>
        </w:trPr>
        <w:tc>
          <w:tcPr>
            <w:tcW w:w="2871"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07580D1B" w14:textId="77777777" w:rsidR="004D058E" w:rsidRDefault="00AA4F1F">
            <w:pPr>
              <w:spacing w:after="20"/>
            </w:pPr>
            <w:r>
              <w:rPr>
                <w:sz w:val="16"/>
                <w:szCs w:val="16"/>
              </w:rPr>
              <w:t>Trazabilidad de diagramas</w:t>
            </w:r>
          </w:p>
        </w:tc>
        <w:tc>
          <w:tcPr>
            <w:tcW w:w="2711"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57FB7510" w14:textId="77777777" w:rsidR="004D058E" w:rsidRDefault="00AA4F1F">
            <w:pPr>
              <w:spacing w:after="20"/>
            </w:pPr>
            <w:r>
              <w:rPr>
                <w:sz w:val="16"/>
                <w:szCs w:val="16"/>
              </w:rPr>
              <w:t>51/51</w:t>
            </w:r>
          </w:p>
        </w:tc>
        <w:tc>
          <w:tcPr>
            <w:tcW w:w="3830"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64C6BFC0" w14:textId="77777777" w:rsidR="004D058E" w:rsidRDefault="00AA4F1F">
            <w:pPr>
              <w:spacing w:after="20"/>
            </w:pPr>
            <w:r>
              <w:rPr>
                <w:sz w:val="16"/>
                <w:szCs w:val="16"/>
              </w:rPr>
              <w:t>51/51</w:t>
            </w:r>
          </w:p>
        </w:tc>
      </w:tr>
      <w:tr w:rsidR="004D058E" w14:paraId="128DD0BC" w14:textId="77777777">
        <w:trPr>
          <w:cantSplit/>
        </w:trPr>
        <w:tc>
          <w:tcPr>
            <w:tcW w:w="2871"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06692450" w14:textId="77777777" w:rsidR="004D058E" w:rsidRDefault="00AA4F1F">
            <w:pPr>
              <w:spacing w:after="20"/>
            </w:pPr>
            <w:r>
              <w:rPr>
                <w:sz w:val="16"/>
                <w:szCs w:val="16"/>
              </w:rPr>
              <w:t>Error ATE DML (espera / transferencias / facturación)</w:t>
            </w:r>
          </w:p>
        </w:tc>
        <w:tc>
          <w:tcPr>
            <w:tcW w:w="2711"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0AA2B46F" w14:textId="77777777" w:rsidR="004D058E" w:rsidRDefault="00AA4F1F">
            <w:pPr>
              <w:spacing w:after="20"/>
            </w:pPr>
            <w:r>
              <w:rPr>
                <w:sz w:val="16"/>
                <w:szCs w:val="16"/>
              </w:rPr>
              <w:t>0,0022 / 0,0040 / 0,0006</w:t>
            </w:r>
          </w:p>
        </w:tc>
        <w:tc>
          <w:tcPr>
            <w:tcW w:w="3830"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1EF0AF9D" w14:textId="77777777" w:rsidR="004D058E" w:rsidRDefault="00AA4F1F">
            <w:pPr>
              <w:spacing w:after="20"/>
            </w:pPr>
            <w:r>
              <w:rPr>
                <w:sz w:val="16"/>
                <w:szCs w:val="16"/>
              </w:rPr>
              <w:t>0,0022 / 0,0040 / 0,0006; refutaciones y gate aprobados</w:t>
            </w:r>
          </w:p>
        </w:tc>
      </w:tr>
    </w:tbl>
    <w:p w14:paraId="658D86B3" w14:textId="77777777" w:rsidR="004D058E" w:rsidRDefault="004D058E">
      <w:pPr>
        <w:spacing w:after="60"/>
      </w:pPr>
    </w:p>
    <w:p w14:paraId="01756908" w14:textId="77777777" w:rsidR="004D058E" w:rsidRDefault="00AA4F1F">
      <w:pPr>
        <w:keepNext/>
        <w:spacing w:before="160" w:after="80"/>
      </w:pPr>
      <w:r>
        <w:rPr>
          <w:b/>
          <w:bCs/>
          <w:color w:val="1B3A5F"/>
          <w:sz w:val="19"/>
          <w:szCs w:val="19"/>
        </w:rPr>
        <w:t>Tabla 5.2. Latencia y concurrencia en una réplica de 1 vCPU (p50 / p95 / p99, ms)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2871"/>
        <w:gridCol w:w="3989"/>
      </w:tblGrid>
      <w:tr w:rsidR="004D058E" w14:paraId="09EB0CD5" w14:textId="77777777">
        <w:trPr>
          <w:cantSplit/>
          <w:tblHeader/>
        </w:trPr>
        <w:tc>
          <w:tcPr>
            <w:tcW w:w="2552"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104B0FE2" w14:textId="77777777" w:rsidR="004D058E" w:rsidRDefault="00AA4F1F">
            <w:pPr>
              <w:spacing w:after="20"/>
            </w:pPr>
            <w:r>
              <w:rPr>
                <w:b/>
                <w:bCs/>
                <w:color w:val="FFFFFF"/>
                <w:sz w:val="16"/>
                <w:szCs w:val="16"/>
              </w:rPr>
              <w:t>Medición</w:t>
            </w:r>
          </w:p>
        </w:tc>
        <w:tc>
          <w:tcPr>
            <w:tcW w:w="2871"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2AACF884" w14:textId="77777777" w:rsidR="004D058E" w:rsidRDefault="00AA4F1F">
            <w:pPr>
              <w:spacing w:after="20"/>
            </w:pPr>
            <w:r>
              <w:rPr>
                <w:b/>
                <w:bCs/>
                <w:color w:val="FFFFFF"/>
                <w:sz w:val="16"/>
                <w:szCs w:val="16"/>
              </w:rPr>
              <w:t>Documentado (Linux, Xeon 2,1 GHz, uvloop)</w:t>
            </w:r>
          </w:p>
        </w:tc>
        <w:tc>
          <w:tcPr>
            <w:tcW w:w="3989"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48C6B3C3" w14:textId="77777777" w:rsidR="004D058E" w:rsidRDefault="00AA4F1F">
            <w:pPr>
              <w:spacing w:after="20"/>
            </w:pPr>
            <w:r>
              <w:rPr>
                <w:b/>
                <w:bCs/>
                <w:color w:val="FFFFFF"/>
                <w:sz w:val="16"/>
                <w:szCs w:val="16"/>
              </w:rPr>
              <w:t>Reproducido (Windows 10, bucle Proactor)</w:t>
            </w:r>
          </w:p>
        </w:tc>
      </w:tr>
      <w:tr w:rsidR="004D058E" w14:paraId="7AF2D7DD" w14:textId="77777777">
        <w:trPr>
          <w:cantSplit/>
        </w:trPr>
        <w:tc>
          <w:tcPr>
            <w:tcW w:w="2552"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19580007" w14:textId="77777777" w:rsidR="004D058E" w:rsidRDefault="00AA4F1F">
            <w:pPr>
              <w:spacing w:after="20"/>
            </w:pPr>
            <w:r>
              <w:rPr>
                <w:sz w:val="16"/>
                <w:szCs w:val="16"/>
              </w:rPr>
              <w:t>Servidor por ventana (20.000)</w:t>
            </w:r>
          </w:p>
        </w:tc>
        <w:tc>
          <w:tcPr>
            <w:tcW w:w="2871"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6005CC4E" w14:textId="77777777" w:rsidR="004D058E" w:rsidRDefault="00AA4F1F">
            <w:pPr>
              <w:spacing w:after="20"/>
            </w:pPr>
            <w:r>
              <w:rPr>
                <w:sz w:val="16"/>
                <w:szCs w:val="16"/>
              </w:rPr>
              <w:t>1,44 / 2,01 / 2,60</w:t>
            </w:r>
          </w:p>
        </w:tc>
        <w:tc>
          <w:tcPr>
            <w:tcW w:w="3989"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597BBC47" w14:textId="77777777" w:rsidR="004D058E" w:rsidRDefault="00AA4F1F">
            <w:pPr>
              <w:spacing w:after="20"/>
            </w:pPr>
            <w:r>
              <w:rPr>
                <w:sz w:val="16"/>
                <w:szCs w:val="16"/>
              </w:rPr>
              <w:t>1,90 / 2,91 / 3,70</w:t>
            </w:r>
          </w:p>
        </w:tc>
      </w:tr>
      <w:tr w:rsidR="004D058E" w14:paraId="504AF210" w14:textId="77777777">
        <w:trPr>
          <w:cantSplit/>
        </w:trPr>
        <w:tc>
          <w:tcPr>
            <w:tcW w:w="2552"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515044F3" w14:textId="77777777" w:rsidR="004D058E" w:rsidRDefault="00AA4F1F">
            <w:pPr>
              <w:spacing w:after="20"/>
            </w:pPr>
            <w:r>
              <w:rPr>
                <w:sz w:val="16"/>
                <w:szCs w:val="16"/>
              </w:rPr>
              <w:t>Extremo a extremo, 100 llamadas</w:t>
            </w:r>
          </w:p>
        </w:tc>
        <w:tc>
          <w:tcPr>
            <w:tcW w:w="2871"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0F720E4C" w14:textId="77777777" w:rsidR="004D058E" w:rsidRDefault="00AA4F1F">
            <w:pPr>
              <w:spacing w:after="20"/>
            </w:pPr>
            <w:r>
              <w:rPr>
                <w:sz w:val="16"/>
                <w:szCs w:val="16"/>
              </w:rPr>
              <w:t>3,4 / 9,0 / 14,5</w:t>
            </w:r>
          </w:p>
        </w:tc>
        <w:tc>
          <w:tcPr>
            <w:tcW w:w="3989"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259B424B" w14:textId="77777777" w:rsidR="004D058E" w:rsidRDefault="00AA4F1F">
            <w:pPr>
              <w:spacing w:after="20"/>
            </w:pPr>
            <w:r>
              <w:rPr>
                <w:sz w:val="16"/>
                <w:szCs w:val="16"/>
              </w:rPr>
              <w:t>12,7–13,5 / 31,0–32,0 / 38,1–42,5 (3 corridas; 100 % &lt; 200 ms)</w:t>
            </w:r>
          </w:p>
        </w:tc>
      </w:tr>
      <w:tr w:rsidR="004D058E" w14:paraId="6720D0E4" w14:textId="77777777">
        <w:trPr>
          <w:cantSplit/>
        </w:trPr>
        <w:tc>
          <w:tcPr>
            <w:tcW w:w="2552"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66354034" w14:textId="77777777" w:rsidR="004D058E" w:rsidRDefault="00AA4F1F">
            <w:pPr>
              <w:spacing w:after="20"/>
            </w:pPr>
            <w:r>
              <w:rPr>
                <w:sz w:val="16"/>
                <w:szCs w:val="16"/>
              </w:rPr>
              <w:t>Extremo a extremo, 180 llamadas</w:t>
            </w:r>
          </w:p>
        </w:tc>
        <w:tc>
          <w:tcPr>
            <w:tcW w:w="2871"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23ECF66A" w14:textId="77777777" w:rsidR="004D058E" w:rsidRDefault="00AA4F1F">
            <w:pPr>
              <w:spacing w:after="20"/>
            </w:pPr>
            <w:r>
              <w:rPr>
                <w:sz w:val="16"/>
                <w:szCs w:val="16"/>
              </w:rPr>
              <w:t>6,1 / 23,1 / 46,9</w:t>
            </w:r>
          </w:p>
        </w:tc>
        <w:tc>
          <w:tcPr>
            <w:tcW w:w="3989"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54B60D15" w14:textId="77777777" w:rsidR="004D058E" w:rsidRDefault="00AA4F1F">
            <w:pPr>
              <w:spacing w:after="20"/>
            </w:pPr>
            <w:r>
              <w:rPr>
                <w:sz w:val="16"/>
                <w:szCs w:val="16"/>
              </w:rPr>
              <w:t>p95 912 / 90 / 524 / 2827 / 63 en 5 corridas; solo 2 cumplen &lt; 200 y &lt; 250 ms</w:t>
            </w:r>
          </w:p>
        </w:tc>
      </w:tr>
      <w:tr w:rsidR="004D058E" w14:paraId="781852D4" w14:textId="77777777">
        <w:trPr>
          <w:cantSplit/>
        </w:trPr>
        <w:tc>
          <w:tcPr>
            <w:tcW w:w="2552"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70FABB1A" w14:textId="77777777" w:rsidR="004D058E" w:rsidRDefault="00AA4F1F">
            <w:pPr>
              <w:spacing w:after="20"/>
            </w:pPr>
            <w:r>
              <w:rPr>
                <w:sz w:val="16"/>
                <w:szCs w:val="16"/>
              </w:rPr>
              <w:t>Sin admisión: 300 llamadas</w:t>
            </w:r>
          </w:p>
        </w:tc>
        <w:tc>
          <w:tcPr>
            <w:tcW w:w="2871"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5DE8D373" w14:textId="77777777" w:rsidR="004D058E" w:rsidRDefault="00AA4F1F">
            <w:pPr>
              <w:spacing w:after="20"/>
            </w:pPr>
            <w:r>
              <w:rPr>
                <w:sz w:val="16"/>
                <w:szCs w:val="16"/>
              </w:rPr>
              <w:t>p95 4.032 (saturación)</w:t>
            </w:r>
          </w:p>
        </w:tc>
        <w:tc>
          <w:tcPr>
            <w:tcW w:w="3989"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4804B81F" w14:textId="77777777" w:rsidR="004D058E" w:rsidRDefault="00AA4F1F">
            <w:pPr>
              <w:spacing w:after="20"/>
            </w:pPr>
            <w:r>
              <w:rPr>
                <w:sz w:val="16"/>
                <w:szCs w:val="16"/>
              </w:rPr>
              <w:t>No repetido</w:t>
            </w:r>
          </w:p>
        </w:tc>
      </w:tr>
      <w:tr w:rsidR="004D058E" w14:paraId="4BF556C8" w14:textId="77777777">
        <w:trPr>
          <w:cantSplit/>
        </w:trPr>
        <w:tc>
          <w:tcPr>
            <w:tcW w:w="2552"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582E797D" w14:textId="77777777" w:rsidR="004D058E" w:rsidRDefault="00AA4F1F">
            <w:pPr>
              <w:spacing w:after="20"/>
            </w:pPr>
            <w:r>
              <w:rPr>
                <w:sz w:val="16"/>
                <w:szCs w:val="16"/>
              </w:rPr>
              <w:t>Con admisión (sobrecarga)</w:t>
            </w:r>
          </w:p>
        </w:tc>
        <w:tc>
          <w:tcPr>
            <w:tcW w:w="2871"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09F78E99" w14:textId="77777777" w:rsidR="004D058E" w:rsidRDefault="00AA4F1F">
            <w:pPr>
              <w:spacing w:after="20"/>
            </w:pPr>
            <w:r>
              <w:rPr>
                <w:sz w:val="16"/>
                <w:szCs w:val="16"/>
              </w:rPr>
              <w:t>400 ofrecidas → 180 aceptadas; p95 59,4</w:t>
            </w:r>
          </w:p>
        </w:tc>
        <w:tc>
          <w:tcPr>
            <w:tcW w:w="3989"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7926436B" w14:textId="77777777" w:rsidR="004D058E" w:rsidRDefault="00AA4F1F">
            <w:pPr>
              <w:spacing w:after="20"/>
            </w:pPr>
            <w:r>
              <w:rPr>
                <w:sz w:val="16"/>
                <w:szCs w:val="16"/>
              </w:rPr>
              <w:t>250 ofrecidas → 180 aceptadas, 70 rechazadas (1013); p95 57,3</w:t>
            </w:r>
          </w:p>
        </w:tc>
      </w:tr>
    </w:tbl>
    <w:p w14:paraId="1E0F1AB0" w14:textId="77777777" w:rsidR="004D058E" w:rsidRDefault="00AA4F1F">
      <w:pPr>
        <w:spacing w:after="120" w:line="276" w:lineRule="auto"/>
        <w:jc w:val="both"/>
      </w:pPr>
      <w:r>
        <w:rPr>
          <w:b/>
          <w:bCs/>
        </w:rPr>
        <w:t>Capacidad demostrada</w:t>
      </w:r>
      <w:r>
        <w:t xml:space="preserve">: 180 sesiones por réplica en el entorno del equipo (documentado) y 100 de forma estable en el entorno de reproducción; el control de admisión protege la latencia ante sobrecarga. </w:t>
      </w:r>
      <w:r>
        <w:rPr>
          <w:b/>
          <w:bCs/>
        </w:rPr>
        <w:t>Capacidad proyectada</w:t>
      </w:r>
      <w:r>
        <w:t>: 1.500 llamadas con ⌈1.500/180⌉ + 1 = 10 réplicas (16 c</w:t>
      </w:r>
      <w:r>
        <w:t xml:space="preserve">on 100 por réplica). </w:t>
      </w:r>
      <w:r>
        <w:rPr>
          <w:b/>
          <w:bCs/>
        </w:rPr>
        <w:t>No se probaron 1.500 llamadas</w:t>
      </w:r>
      <w:r>
        <w:t xml:space="preserve"> ni ninguna medición en Azure. Limitaciones: un solo núcleo local con otros procesos activos, cliente de carga en la misma máquina, audio sintético y sin red real entre telefonía y API. La diferencia entre </w:t>
      </w:r>
      <w:r>
        <w:t>23,1 ms y la variabilidad observada en Windows se atribuye al bucle de eventos y al equipo compartido, pero solo una prueba en Azure puede resolverla.</w:t>
      </w:r>
    </w:p>
    <w:p w14:paraId="447F9838" w14:textId="77777777" w:rsidR="004D058E" w:rsidRDefault="00AA4F1F">
      <w:pPr>
        <w:pStyle w:val="Ttulo1"/>
        <w:pageBreakBefore/>
      </w:pPr>
      <w:bookmarkStart w:id="6" w:name="_Toc244016975"/>
      <w:r>
        <w:lastRenderedPageBreak/>
        <w:t>6. Evaluación económica</w:t>
      </w:r>
      <w:bookmarkEnd w:id="6"/>
    </w:p>
    <w:p w14:paraId="6DFF84B7" w14:textId="77777777" w:rsidR="004D058E" w:rsidRDefault="00AA4F1F">
      <w:pPr>
        <w:spacing w:after="120" w:line="276" w:lineRule="auto"/>
        <w:jc w:val="both"/>
      </w:pPr>
      <w:r>
        <w:t>Moneda GBP; 36 meses con flujos a fin de mes, sin valor terminal, antes de impues</w:t>
      </w:r>
      <w:r>
        <w:t xml:space="preserve">tos y a precios constantes. Precios de la Azure Retail Prices API (UK South, lista minorista, consultada el 27-10-2026; medidores en USD convertidos con el tipo implícito de la propia lista GBP de Azure, 0,7547). Los datos comerciales son </w:t>
      </w:r>
      <w:r>
        <w:rPr>
          <w:b/>
          <w:bCs/>
        </w:rPr>
        <w:t>supuestos académi</w:t>
      </w:r>
      <w:r>
        <w:rPr>
          <w:b/>
          <w:bCs/>
        </w:rPr>
        <w:t>cos</w:t>
      </w:r>
      <w:r>
        <w:t>. El Excel adjunto reproduce todas las cifras con fórmulas (0 celdas con error).</w:t>
      </w:r>
    </w:p>
    <w:p w14:paraId="7E9361A7" w14:textId="77777777" w:rsidR="004D058E" w:rsidRDefault="00AA4F1F">
      <w:pPr>
        <w:keepNext/>
        <w:spacing w:before="160" w:after="80"/>
      </w:pPr>
      <w:r>
        <w:rPr>
          <w:b/>
          <w:bCs/>
          <w:color w:val="1B3A5F"/>
          <w:sz w:val="19"/>
          <w:szCs w:val="19"/>
        </w:rPr>
        <w:t>Tabla 6.1. Conciliación de los dos modelos del grupo y versión final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3"/>
        <w:gridCol w:w="2233"/>
        <w:gridCol w:w="2233"/>
        <w:gridCol w:w="2873"/>
      </w:tblGrid>
      <w:tr w:rsidR="004D058E" w14:paraId="0B831AE6" w14:textId="77777777">
        <w:trPr>
          <w:cantSplit/>
          <w:tblHeader/>
        </w:trPr>
        <w:tc>
          <w:tcPr>
            <w:tcW w:w="2073"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77164990" w14:textId="77777777" w:rsidR="004D058E" w:rsidRDefault="00AA4F1F">
            <w:pPr>
              <w:spacing w:after="20"/>
            </w:pPr>
            <w:r>
              <w:rPr>
                <w:b/>
                <w:bCs/>
                <w:color w:val="FFFFFF"/>
                <w:sz w:val="15"/>
                <w:szCs w:val="15"/>
              </w:rPr>
              <w:t>Supuesto</w:t>
            </w:r>
          </w:p>
        </w:tc>
        <w:tc>
          <w:tcPr>
            <w:tcW w:w="2233"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2D1109EE" w14:textId="77777777" w:rsidR="004D058E" w:rsidRDefault="00AA4F1F">
            <w:pPr>
              <w:spacing w:after="20"/>
            </w:pPr>
            <w:r>
              <w:rPr>
                <w:b/>
                <w:bCs/>
                <w:color w:val="FFFFFF"/>
                <w:sz w:val="15"/>
                <w:szCs w:val="15"/>
              </w:rPr>
              <w:t>Modelo A</w:t>
            </w:r>
          </w:p>
        </w:tc>
        <w:tc>
          <w:tcPr>
            <w:tcW w:w="2233"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01B6C99B" w14:textId="77777777" w:rsidR="004D058E" w:rsidRDefault="00AA4F1F">
            <w:pPr>
              <w:spacing w:after="20"/>
            </w:pPr>
            <w:r>
              <w:rPr>
                <w:b/>
                <w:bCs/>
                <w:color w:val="FFFFFF"/>
                <w:sz w:val="15"/>
                <w:szCs w:val="15"/>
              </w:rPr>
              <w:t>Modelo B</w:t>
            </w:r>
          </w:p>
        </w:tc>
        <w:tc>
          <w:tcPr>
            <w:tcW w:w="2873"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5C60E020" w14:textId="77777777" w:rsidR="004D058E" w:rsidRDefault="00AA4F1F">
            <w:pPr>
              <w:spacing w:after="20"/>
            </w:pPr>
            <w:r>
              <w:rPr>
                <w:b/>
                <w:bCs/>
                <w:color w:val="FFFFFF"/>
                <w:sz w:val="15"/>
                <w:szCs w:val="15"/>
              </w:rPr>
              <w:t>Versión final y motivo</w:t>
            </w:r>
          </w:p>
        </w:tc>
      </w:tr>
      <w:tr w:rsidR="004D058E" w14:paraId="00AE6DB3" w14:textId="77777777">
        <w:trPr>
          <w:cantSplit/>
        </w:trPr>
        <w:tc>
          <w:tcPr>
            <w:tcW w:w="2073"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3FABA9EB" w14:textId="77777777" w:rsidR="004D058E" w:rsidRDefault="00AA4F1F">
            <w:pPr>
              <w:spacing w:after="20"/>
            </w:pPr>
            <w:r>
              <w:rPr>
                <w:sz w:val="15"/>
                <w:szCs w:val="15"/>
              </w:rPr>
              <w:t>Precios Azure / tipo de cambio</w:t>
            </w:r>
          </w:p>
        </w:tc>
        <w:tc>
          <w:tcPr>
            <w:tcW w:w="2233"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37A27756" w14:textId="77777777" w:rsidR="004D058E" w:rsidRDefault="00AA4F1F">
            <w:pPr>
              <w:spacing w:after="20"/>
            </w:pPr>
            <w:r>
              <w:rPr>
                <w:sz w:val="15"/>
                <w:szCs w:val="15"/>
              </w:rPr>
              <w:t>API oficial UK South; 0,7547</w:t>
            </w:r>
          </w:p>
        </w:tc>
        <w:tc>
          <w:tcPr>
            <w:tcW w:w="2233"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6EC8E559" w14:textId="77777777" w:rsidR="004D058E" w:rsidRDefault="00AA4F1F">
            <w:pPr>
              <w:spacing w:after="20"/>
            </w:pPr>
            <w:r>
              <w:rPr>
                <w:sz w:val="15"/>
                <w:szCs w:val="15"/>
              </w:rPr>
              <w:t>Listas de terceros; 1,33 USD/GBP</w:t>
            </w:r>
          </w:p>
        </w:tc>
        <w:tc>
          <w:tcPr>
            <w:tcW w:w="2873"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2C136FA2" w14:textId="77777777" w:rsidR="004D058E" w:rsidRDefault="00AA4F1F">
            <w:pPr>
              <w:spacing w:after="20"/>
            </w:pPr>
            <w:r>
              <w:rPr>
                <w:sz w:val="15"/>
                <w:szCs w:val="15"/>
              </w:rPr>
              <w:t>A: fuente oficial con región y fecha</w:t>
            </w:r>
          </w:p>
        </w:tc>
      </w:tr>
      <w:tr w:rsidR="004D058E" w14:paraId="77444C7E" w14:textId="77777777">
        <w:trPr>
          <w:cantSplit/>
        </w:trPr>
        <w:tc>
          <w:tcPr>
            <w:tcW w:w="2073"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3EB32952" w14:textId="77777777" w:rsidR="004D058E" w:rsidRDefault="00AA4F1F">
            <w:pPr>
              <w:spacing w:after="20"/>
            </w:pPr>
            <w:r>
              <w:rPr>
                <w:sz w:val="15"/>
                <w:szCs w:val="15"/>
              </w:rPr>
              <w:t>Tarifa / tasa de descuento</w:t>
            </w:r>
          </w:p>
        </w:tc>
        <w:tc>
          <w:tcPr>
            <w:tcW w:w="2233"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7A44F897" w14:textId="77777777" w:rsidR="004D058E" w:rsidRDefault="00AA4F1F">
            <w:pPr>
              <w:spacing w:after="20"/>
            </w:pPr>
            <w:r>
              <w:rPr>
                <w:sz w:val="15"/>
                <w:szCs w:val="15"/>
              </w:rPr>
              <w:t>£550/día; 12 %</w:t>
            </w:r>
          </w:p>
        </w:tc>
        <w:tc>
          <w:tcPr>
            <w:tcW w:w="2233"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4301C14D" w14:textId="77777777" w:rsidR="004D058E" w:rsidRDefault="00AA4F1F">
            <w:pPr>
              <w:spacing w:after="20"/>
            </w:pPr>
            <w:r>
              <w:rPr>
                <w:sz w:val="15"/>
                <w:szCs w:val="15"/>
              </w:rPr>
              <w:t>£575/día; WACC 11,2 %</w:t>
            </w:r>
          </w:p>
        </w:tc>
        <w:tc>
          <w:tcPr>
            <w:tcW w:w="2873"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356177F9" w14:textId="77777777" w:rsidR="004D058E" w:rsidRDefault="00AA4F1F">
            <w:pPr>
              <w:spacing w:after="20"/>
            </w:pPr>
            <w:r>
              <w:rPr>
                <w:sz w:val="15"/>
                <w:szCs w:val="15"/>
              </w:rPr>
              <w:t>A: más conservadora; sensibilidad 8,7–16 %</w:t>
            </w:r>
          </w:p>
        </w:tc>
      </w:tr>
      <w:tr w:rsidR="004D058E" w14:paraId="0ED31A48" w14:textId="77777777">
        <w:trPr>
          <w:cantSplit/>
        </w:trPr>
        <w:tc>
          <w:tcPr>
            <w:tcW w:w="2073"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12377117" w14:textId="77777777" w:rsidR="004D058E" w:rsidRDefault="00AA4F1F">
            <w:pPr>
              <w:spacing w:after="20"/>
            </w:pPr>
            <w:r>
              <w:rPr>
                <w:sz w:val="15"/>
                <w:szCs w:val="15"/>
              </w:rPr>
              <w:t>CAPEX</w:t>
            </w:r>
          </w:p>
        </w:tc>
        <w:tc>
          <w:tcPr>
            <w:tcW w:w="2233"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73FA47CF" w14:textId="77777777" w:rsidR="004D058E" w:rsidRDefault="00AA4F1F">
            <w:pPr>
              <w:spacing w:after="20"/>
            </w:pPr>
            <w:r>
              <w:rPr>
                <w:sz w:val="15"/>
                <w:szCs w:val="15"/>
              </w:rPr>
              <w:t>800 HH; meses 1–2</w:t>
            </w:r>
          </w:p>
        </w:tc>
        <w:tc>
          <w:tcPr>
            <w:tcW w:w="2233"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63A1C2D6" w14:textId="77777777" w:rsidR="004D058E" w:rsidRDefault="00AA4F1F">
            <w:pPr>
              <w:spacing w:after="20"/>
            </w:pPr>
            <w:r>
              <w:rPr>
                <w:sz w:val="15"/>
                <w:szCs w:val="15"/>
              </w:rPr>
              <w:t>800 HH + 10 % de reserva; 3 meses</w:t>
            </w:r>
          </w:p>
        </w:tc>
        <w:tc>
          <w:tcPr>
            <w:tcW w:w="2873"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4FBC88A6" w14:textId="77777777" w:rsidR="004D058E" w:rsidRDefault="00AA4F1F">
            <w:pPr>
              <w:spacing w:after="20"/>
            </w:pPr>
            <w:r>
              <w:rPr>
                <w:sz w:val="15"/>
                <w:szCs w:val="15"/>
              </w:rPr>
              <w:t>B: reserva y calendario de la línea base EVM</w:t>
            </w:r>
          </w:p>
        </w:tc>
      </w:tr>
      <w:tr w:rsidR="004D058E" w14:paraId="0C1A4C16" w14:textId="77777777">
        <w:trPr>
          <w:cantSplit/>
        </w:trPr>
        <w:tc>
          <w:tcPr>
            <w:tcW w:w="2073"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53A3E4B1" w14:textId="77777777" w:rsidR="004D058E" w:rsidRDefault="00AA4F1F">
            <w:pPr>
              <w:spacing w:after="20"/>
            </w:pPr>
            <w:r>
              <w:rPr>
                <w:sz w:val="15"/>
                <w:szCs w:val="15"/>
              </w:rPr>
              <w:t>APIM / Service Bus</w:t>
            </w:r>
          </w:p>
        </w:tc>
        <w:tc>
          <w:tcPr>
            <w:tcW w:w="2233"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51893E67" w14:textId="77777777" w:rsidR="004D058E" w:rsidRDefault="00AA4F1F">
            <w:pPr>
              <w:spacing w:after="20"/>
            </w:pPr>
            <w:r>
              <w:rPr>
                <w:sz w:val="15"/>
                <w:szCs w:val="15"/>
              </w:rPr>
              <w:t>Solo en pesimista / Standard</w:t>
            </w:r>
          </w:p>
        </w:tc>
        <w:tc>
          <w:tcPr>
            <w:tcW w:w="2233"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192BE909" w14:textId="77777777" w:rsidR="004D058E" w:rsidRDefault="00AA4F1F">
            <w:pPr>
              <w:spacing w:after="20"/>
            </w:pPr>
            <w:r>
              <w:rPr>
                <w:sz w:val="15"/>
                <w:szCs w:val="15"/>
              </w:rPr>
              <w:t>Std v2 / Premium siempre</w:t>
            </w:r>
          </w:p>
        </w:tc>
        <w:tc>
          <w:tcPr>
            <w:tcW w:w="2873"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4497BC29" w14:textId="77777777" w:rsidR="004D058E" w:rsidRDefault="00AA4F1F">
            <w:pPr>
              <w:spacing w:after="20"/>
            </w:pPr>
            <w:r>
              <w:rPr>
                <w:sz w:val="15"/>
                <w:szCs w:val="15"/>
              </w:rPr>
              <w:t>B: lo exige la arquitectura propuesta</w:t>
            </w:r>
          </w:p>
        </w:tc>
      </w:tr>
      <w:tr w:rsidR="004D058E" w14:paraId="7F93A91B" w14:textId="77777777">
        <w:trPr>
          <w:cantSplit/>
        </w:trPr>
        <w:tc>
          <w:tcPr>
            <w:tcW w:w="2073"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67E59DA4" w14:textId="77777777" w:rsidR="004D058E" w:rsidRDefault="00AA4F1F">
            <w:pPr>
              <w:spacing w:after="20"/>
            </w:pPr>
            <w:r>
              <w:rPr>
                <w:sz w:val="15"/>
                <w:szCs w:val="15"/>
              </w:rPr>
              <w:t>Réplicas</w:t>
            </w:r>
          </w:p>
        </w:tc>
        <w:tc>
          <w:tcPr>
            <w:tcW w:w="2233"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6EDD7883" w14:textId="77777777" w:rsidR="004D058E" w:rsidRDefault="00AA4F1F">
            <w:pPr>
              <w:spacing w:after="20"/>
            </w:pPr>
            <w:r>
              <w:rPr>
                <w:sz w:val="15"/>
                <w:szCs w:val="15"/>
              </w:rPr>
              <w:t>Mín. 1; según concurrencia horaria</w:t>
            </w:r>
          </w:p>
        </w:tc>
        <w:tc>
          <w:tcPr>
            <w:tcW w:w="2233"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416534EC" w14:textId="77777777" w:rsidR="004D058E" w:rsidRDefault="00AA4F1F">
            <w:pPr>
              <w:spacing w:after="20"/>
            </w:pPr>
            <w:r>
              <w:rPr>
                <w:sz w:val="15"/>
                <w:szCs w:val="15"/>
              </w:rPr>
              <w:t>Mín. 2; pico 24/7</w:t>
            </w:r>
          </w:p>
        </w:tc>
        <w:tc>
          <w:tcPr>
            <w:tcW w:w="2873"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62AC1AF9" w14:textId="77777777" w:rsidR="004D058E" w:rsidRDefault="00AA4F1F">
            <w:pPr>
              <w:spacing w:after="20"/>
            </w:pPr>
            <w:r>
              <w:rPr>
                <w:sz w:val="15"/>
                <w:szCs w:val="15"/>
              </w:rPr>
              <w:t>Mín. 2 (alta disponibilidad) con escalado horario</w:t>
            </w:r>
          </w:p>
        </w:tc>
      </w:tr>
      <w:tr w:rsidR="004D058E" w14:paraId="470E7891" w14:textId="77777777">
        <w:trPr>
          <w:cantSplit/>
        </w:trPr>
        <w:tc>
          <w:tcPr>
            <w:tcW w:w="2073"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5ECB6B2A" w14:textId="77777777" w:rsidR="004D058E" w:rsidRDefault="00AA4F1F">
            <w:pPr>
              <w:spacing w:after="20"/>
            </w:pPr>
            <w:r>
              <w:rPr>
                <w:sz w:val="15"/>
                <w:szCs w:val="15"/>
              </w:rPr>
              <w:t>Demanda y precio</w:t>
            </w:r>
          </w:p>
        </w:tc>
        <w:tc>
          <w:tcPr>
            <w:tcW w:w="2233"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3CDB1BED" w14:textId="77777777" w:rsidR="004D058E" w:rsidRDefault="00AA4F1F">
            <w:pPr>
              <w:spacing w:after="20"/>
            </w:pPr>
            <w:r>
              <w:rPr>
                <w:sz w:val="15"/>
                <w:szCs w:val="15"/>
              </w:rPr>
              <w:t>2.000 puestos (1.500 conc.); 60 %; £60</w:t>
            </w:r>
          </w:p>
        </w:tc>
        <w:tc>
          <w:tcPr>
            <w:tcW w:w="2233"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3CCB1BA1" w14:textId="77777777" w:rsidR="004D058E" w:rsidRDefault="00AA4F1F">
            <w:pPr>
              <w:spacing w:after="20"/>
            </w:pPr>
            <w:r>
              <w:rPr>
                <w:sz w:val="15"/>
                <w:szCs w:val="15"/>
              </w:rPr>
              <w:t>5.000 puestos; 40 %; £60</w:t>
            </w:r>
          </w:p>
        </w:tc>
        <w:tc>
          <w:tcPr>
            <w:tcW w:w="2873"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56EFC2BC" w14:textId="77777777" w:rsidR="004D058E" w:rsidRDefault="00AA4F1F">
            <w:pPr>
              <w:spacing w:after="20"/>
            </w:pPr>
            <w:r>
              <w:rPr>
                <w:sz w:val="15"/>
                <w:szCs w:val="15"/>
              </w:rPr>
              <w:t>A: derivada del KPI de 1.500 llamadas</w:t>
            </w:r>
          </w:p>
        </w:tc>
      </w:tr>
      <w:tr w:rsidR="004D058E" w14:paraId="3653E3DC" w14:textId="77777777">
        <w:trPr>
          <w:cantSplit/>
        </w:trPr>
        <w:tc>
          <w:tcPr>
            <w:tcW w:w="2073"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11343D74" w14:textId="77777777" w:rsidR="004D058E" w:rsidRDefault="00AA4F1F">
            <w:pPr>
              <w:spacing w:after="20"/>
            </w:pPr>
            <w:r>
              <w:rPr>
                <w:sz w:val="15"/>
                <w:szCs w:val="15"/>
              </w:rPr>
              <w:t>Resultado Base</w:t>
            </w:r>
          </w:p>
        </w:tc>
        <w:tc>
          <w:tcPr>
            <w:tcW w:w="2233"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1C263866" w14:textId="77777777" w:rsidR="004D058E" w:rsidRDefault="00AA4F1F">
            <w:pPr>
              <w:spacing w:after="20"/>
            </w:pPr>
            <w:r>
              <w:rPr>
                <w:sz w:val="15"/>
                <w:szCs w:val="15"/>
              </w:rPr>
              <w:t>VAN £206.262</w:t>
            </w:r>
          </w:p>
        </w:tc>
        <w:tc>
          <w:tcPr>
            <w:tcW w:w="2233"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014E6FCF" w14:textId="77777777" w:rsidR="004D058E" w:rsidRDefault="00AA4F1F">
            <w:pPr>
              <w:spacing w:after="20"/>
            </w:pPr>
            <w:r>
              <w:rPr>
                <w:sz w:val="15"/>
                <w:szCs w:val="15"/>
              </w:rPr>
              <w:t>VAN £375.780</w:t>
            </w:r>
          </w:p>
        </w:tc>
        <w:tc>
          <w:tcPr>
            <w:tcW w:w="2873"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39240801" w14:textId="77777777" w:rsidR="004D058E" w:rsidRDefault="00AA4F1F">
            <w:pPr>
              <w:spacing w:after="20"/>
            </w:pPr>
            <w:r>
              <w:rPr>
                <w:sz w:val="15"/>
                <w:szCs w:val="15"/>
              </w:rPr>
              <w:t>VAN £174,125</w:t>
            </w:r>
          </w:p>
        </w:tc>
      </w:tr>
    </w:tbl>
    <w:p w14:paraId="4B593787" w14:textId="77777777" w:rsidR="004D058E" w:rsidRDefault="00AA4F1F">
      <w:pPr>
        <w:pStyle w:val="Ttulo2"/>
      </w:pPr>
      <w:bookmarkStart w:id="7" w:name="_Toc244016976"/>
      <w:r>
        <w:t>6.1 CAPEX y OPEX</w:t>
      </w:r>
      <w:bookmarkEnd w:id="7"/>
    </w:p>
    <w:p w14:paraId="38B41042" w14:textId="77777777" w:rsidR="004D058E" w:rsidRDefault="00AA4F1F">
      <w:pPr>
        <w:spacing w:after="120" w:line="276" w:lineRule="auto"/>
        <w:jc w:val="both"/>
      </w:pPr>
      <w:r>
        <w:rPr>
          <w:b/>
          <w:bCs/>
        </w:rPr>
        <w:t>CAPEX base = 800 HH × £73,33 × 1,10 = £64,533</w:t>
      </w:r>
      <w:r>
        <w:t>, ejecutado en los meses 1–3 según la PV del EVM (35 %, 43 % y 21 %). El OPEX usa réplicas de 1 vCPU y 2 GiB en Container Apps (£0,114 por réplica-hora), escaladas con la concurrencia (50 % del pico en horario hábil, 10 % fuera de él; mínimo 2). En el pico</w:t>
      </w:r>
      <w:r>
        <w:t xml:space="preserve"> se requieren 10 réplicas (capacidad proyectada). OPEX estable: </w:t>
      </w:r>
      <w:r>
        <w:rPr>
          <w:b/>
          <w:bCs/>
        </w:rPr>
        <w:t>£3,164 al mes</w:t>
      </w:r>
      <w:r>
        <w:t xml:space="preserve"> (£1,697 de Azure y £1,467 de operación MLOps, 20 h).</w:t>
      </w:r>
    </w:p>
    <w:p w14:paraId="6EE08220" w14:textId="77777777" w:rsidR="004D058E" w:rsidRDefault="00AA4F1F">
      <w:pPr>
        <w:keepNext/>
        <w:spacing w:before="60" w:after="40"/>
        <w:jc w:val="center"/>
      </w:pPr>
      <w:r>
        <w:rPr>
          <w:noProof/>
        </w:rPr>
        <w:drawing>
          <wp:inline distT="0" distB="0" distL="0" distR="0" wp14:anchorId="0F0C27F2" wp14:editId="60652B88">
            <wp:extent cx="4762500" cy="2114550"/>
            <wp:effectExtent l="0" t="0" r="0" b="0"/>
            <wp:docPr id="5" name="png/erv_opex.png" descr="png/erv_opex.png" title="png/erv_op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114550"/>
                    </a:xfrm>
                    <a:prstGeom prst="rect">
                      <a:avLst/>
                    </a:prstGeom>
                  </pic:spPr>
                </pic:pic>
              </a:graphicData>
            </a:graphic>
          </wp:inline>
        </w:drawing>
      </w:r>
    </w:p>
    <w:p w14:paraId="35ECF0C6" w14:textId="77777777" w:rsidR="004D058E" w:rsidRDefault="00AA4F1F">
      <w:pPr>
        <w:spacing w:before="60" w:after="200"/>
        <w:jc w:val="center"/>
      </w:pPr>
      <w:r>
        <w:rPr>
          <w:i/>
          <w:iCs/>
          <w:color w:val="5C7390"/>
          <w:sz w:val="18"/>
          <w:szCs w:val="18"/>
        </w:rPr>
        <w:t>Figura 6.1. Composición del OPEX mensual estable (escenario Base).</w:t>
      </w:r>
    </w:p>
    <w:p w14:paraId="5DDDAC2D" w14:textId="77777777" w:rsidR="004D058E" w:rsidRDefault="00AA4F1F">
      <w:pPr>
        <w:pStyle w:val="Ttulo2"/>
      </w:pPr>
      <w:bookmarkStart w:id="8" w:name="_Toc244016977"/>
      <w:r>
        <w:t>6.2 Beneficios e indicadores</w:t>
      </w:r>
      <w:bookmarkEnd w:id="8"/>
    </w:p>
    <w:p w14:paraId="1C2328CB" w14:textId="77777777" w:rsidR="004D058E" w:rsidRDefault="00AA4F1F">
      <w:pPr>
        <w:spacing w:after="120" w:line="276" w:lineRule="auto"/>
        <w:jc w:val="both"/>
      </w:pPr>
      <w:r>
        <w:t>Ingreso incremental: recarg</w:t>
      </w:r>
      <w:r>
        <w:t xml:space="preserve">o de 20 % sobre £60 por puesto en 1.200 puestos (60 % de 2.000, alcanzado entre los meses 4 y 15) = £14,400 al mes. Valor para el cliente (no sumado al VAN): el TTR −15 % ahorra £0.42 por llamada y £453 por puesto al mes, frente a un recargo de £12. VAN = </w:t>
      </w:r>
      <w:r>
        <w:t>Σ F_t/(1+r_m)^t con r_m = 1,12^(1/12) − 1; B/C = VP(ingresos)/VP(CAPEX + OPEX).</w:t>
      </w:r>
    </w:p>
    <w:p w14:paraId="0BE0C38C" w14:textId="77777777" w:rsidR="004D058E" w:rsidRDefault="00AA4F1F">
      <w:pPr>
        <w:keepNext/>
        <w:spacing w:before="60" w:after="40"/>
        <w:jc w:val="center"/>
      </w:pPr>
      <w:r>
        <w:rPr>
          <w:noProof/>
        </w:rPr>
        <w:lastRenderedPageBreak/>
        <w:drawing>
          <wp:inline distT="0" distB="0" distL="0" distR="0" wp14:anchorId="2443D839" wp14:editId="59CAD80D">
            <wp:extent cx="4762500" cy="2324100"/>
            <wp:effectExtent l="0" t="0" r="0" b="0"/>
            <wp:docPr id="6" name="png/erv_flujo_acumulado.png" descr="png/erv_flujo_acumulado.png" title="png/erv_flujo_acumul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324100"/>
                    </a:xfrm>
                    <a:prstGeom prst="rect">
                      <a:avLst/>
                    </a:prstGeom>
                  </pic:spPr>
                </pic:pic>
              </a:graphicData>
            </a:graphic>
          </wp:inline>
        </w:drawing>
      </w:r>
    </w:p>
    <w:p w14:paraId="48BA967E" w14:textId="77777777" w:rsidR="004D058E" w:rsidRDefault="00AA4F1F">
      <w:pPr>
        <w:spacing w:before="60" w:after="200"/>
        <w:jc w:val="center"/>
      </w:pPr>
      <w:r>
        <w:rPr>
          <w:i/>
          <w:iCs/>
          <w:color w:val="5C7390"/>
          <w:sz w:val="18"/>
          <w:szCs w:val="18"/>
        </w:rPr>
        <w:t>Figura 6.2. Flujo de caja acumulado por escenario.</w:t>
      </w:r>
    </w:p>
    <w:p w14:paraId="392C484D" w14:textId="77777777" w:rsidR="004D058E" w:rsidRDefault="00AA4F1F">
      <w:pPr>
        <w:spacing w:after="120" w:line="276" w:lineRule="auto"/>
        <w:jc w:val="both"/>
      </w:pPr>
      <w:r>
        <w:t>Caso base: VAN £174,125, TIR anual 160,4 %, payback de 15,5 meses (recupera en el mes 16; 16,1 descontado) y B/C 2,17. La T</w:t>
      </w:r>
      <w:r>
        <w:t>IR es alta porque el CAPEX es pequeño frente al flujo estable; el VAN y los puntos de equilibrio son mejores guías.</w:t>
      </w:r>
    </w:p>
    <w:p w14:paraId="72DE745B" w14:textId="77777777" w:rsidR="004D058E" w:rsidRDefault="00AA4F1F">
      <w:pPr>
        <w:pStyle w:val="Ttulo1"/>
        <w:pageBreakBefore/>
      </w:pPr>
      <w:bookmarkStart w:id="9" w:name="_Toc244016978"/>
      <w:r>
        <w:lastRenderedPageBreak/>
        <w:t>7. Sensibilidad, escenarios y riesgos</w:t>
      </w:r>
      <w:bookmarkEnd w:id="9"/>
    </w:p>
    <w:p w14:paraId="5B22C4B6" w14:textId="77777777" w:rsidR="004D058E" w:rsidRDefault="00AA4F1F">
      <w:pPr>
        <w:keepNext/>
        <w:spacing w:before="60" w:after="40"/>
        <w:jc w:val="center"/>
      </w:pPr>
      <w:r>
        <w:rPr>
          <w:noProof/>
        </w:rPr>
        <w:drawing>
          <wp:inline distT="0" distB="0" distL="0" distR="0" wp14:anchorId="55CF404A" wp14:editId="0AE2415C">
            <wp:extent cx="4762500" cy="2219325"/>
            <wp:effectExtent l="0" t="0" r="0" b="0"/>
            <wp:docPr id="7" name="png/erv_tornado.png" descr="png/erv_tornado.png" title="png/erv_torn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219325"/>
                    </a:xfrm>
                    <a:prstGeom prst="rect">
                      <a:avLst/>
                    </a:prstGeom>
                  </pic:spPr>
                </pic:pic>
              </a:graphicData>
            </a:graphic>
          </wp:inline>
        </w:drawing>
      </w:r>
    </w:p>
    <w:p w14:paraId="5FE16B7B" w14:textId="77777777" w:rsidR="004D058E" w:rsidRDefault="00AA4F1F">
      <w:pPr>
        <w:spacing w:before="60" w:after="200"/>
        <w:jc w:val="center"/>
      </w:pPr>
      <w:r>
        <w:rPr>
          <w:i/>
          <w:iCs/>
          <w:color w:val="5C7390"/>
          <w:sz w:val="18"/>
          <w:szCs w:val="18"/>
        </w:rPr>
        <w:t>Figura 7.1. Sensibilidad del VAN Base a variaciones de ±20 %.</w:t>
      </w:r>
    </w:p>
    <w:p w14:paraId="65E54711" w14:textId="77777777" w:rsidR="004D058E" w:rsidRDefault="00AA4F1F">
      <w:pPr>
        <w:spacing w:after="120" w:line="276" w:lineRule="auto"/>
        <w:jc w:val="both"/>
      </w:pPr>
      <w:r>
        <w:t>El precio y la adopción dominan; la capacidad por réplica casi no mueve el VAN. Puntos de equilibrio (VAN = 0): precio base de £27.60 por puesto o adopción de 26,8 % (≈ 535 puestos). Con tasas d</w:t>
      </w:r>
      <w:r>
        <w:t>e 8,7 % y 16 %, el VAN Base es £187,692 y £159,283.</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71"/>
        <w:gridCol w:w="1914"/>
        <w:gridCol w:w="1914"/>
        <w:gridCol w:w="2713"/>
      </w:tblGrid>
      <w:tr w:rsidR="004D058E" w14:paraId="6ECADB8A" w14:textId="77777777">
        <w:trPr>
          <w:cantSplit/>
          <w:tblHeader/>
        </w:trPr>
        <w:tc>
          <w:tcPr>
            <w:tcW w:w="2871"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27E43AE8" w14:textId="77777777" w:rsidR="004D058E" w:rsidRDefault="00AA4F1F">
            <w:pPr>
              <w:spacing w:after="20"/>
            </w:pPr>
            <w:r>
              <w:rPr>
                <w:b/>
                <w:bCs/>
                <w:color w:val="FFFFFF"/>
                <w:sz w:val="16"/>
                <w:szCs w:val="16"/>
              </w:rPr>
              <w:t>Variable</w:t>
            </w:r>
          </w:p>
        </w:tc>
        <w:tc>
          <w:tcPr>
            <w:tcW w:w="1914"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79B4A70D" w14:textId="77777777" w:rsidR="004D058E" w:rsidRDefault="00AA4F1F">
            <w:pPr>
              <w:spacing w:after="20"/>
            </w:pPr>
            <w:r>
              <w:rPr>
                <w:b/>
                <w:bCs/>
                <w:color w:val="FFFFFF"/>
                <w:sz w:val="16"/>
                <w:szCs w:val="16"/>
              </w:rPr>
              <w:t>Optimista</w:t>
            </w:r>
          </w:p>
        </w:tc>
        <w:tc>
          <w:tcPr>
            <w:tcW w:w="1914"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22799696" w14:textId="77777777" w:rsidR="004D058E" w:rsidRDefault="00AA4F1F">
            <w:pPr>
              <w:spacing w:after="20"/>
            </w:pPr>
            <w:r>
              <w:rPr>
                <w:b/>
                <w:bCs/>
                <w:color w:val="FFFFFF"/>
                <w:sz w:val="16"/>
                <w:szCs w:val="16"/>
              </w:rPr>
              <w:t>Base</w:t>
            </w:r>
          </w:p>
        </w:tc>
        <w:tc>
          <w:tcPr>
            <w:tcW w:w="2713"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2D92AB85" w14:textId="77777777" w:rsidR="004D058E" w:rsidRDefault="00AA4F1F">
            <w:pPr>
              <w:spacing w:after="20"/>
            </w:pPr>
            <w:r>
              <w:rPr>
                <w:b/>
                <w:bCs/>
                <w:color w:val="FFFFFF"/>
                <w:sz w:val="16"/>
                <w:szCs w:val="16"/>
              </w:rPr>
              <w:t>Pesimista</w:t>
            </w:r>
          </w:p>
        </w:tc>
      </w:tr>
      <w:tr w:rsidR="004D058E" w14:paraId="51CD8CC8" w14:textId="77777777">
        <w:trPr>
          <w:cantSplit/>
        </w:trPr>
        <w:tc>
          <w:tcPr>
            <w:tcW w:w="2871"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77552F3F" w14:textId="77777777" w:rsidR="004D058E" w:rsidRDefault="00AA4F1F">
            <w:pPr>
              <w:spacing w:after="20"/>
            </w:pPr>
            <w:r>
              <w:rPr>
                <w:sz w:val="16"/>
                <w:szCs w:val="16"/>
              </w:rPr>
              <w:t>Tarifa / HH de integración</w:t>
            </w:r>
          </w:p>
        </w:tc>
        <w:tc>
          <w:tcPr>
            <w:tcW w:w="1914"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1A02764E" w14:textId="77777777" w:rsidR="004D058E" w:rsidRDefault="00AA4F1F">
            <w:pPr>
              <w:spacing w:after="20"/>
            </w:pPr>
            <w:r>
              <w:rPr>
                <w:sz w:val="16"/>
                <w:szCs w:val="16"/>
              </w:rPr>
              <w:t>£425 / 800</w:t>
            </w:r>
          </w:p>
        </w:tc>
        <w:tc>
          <w:tcPr>
            <w:tcW w:w="1914"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6B814FE5" w14:textId="77777777" w:rsidR="004D058E" w:rsidRDefault="00AA4F1F">
            <w:pPr>
              <w:spacing w:after="20"/>
            </w:pPr>
            <w:r>
              <w:rPr>
                <w:sz w:val="16"/>
                <w:szCs w:val="16"/>
              </w:rPr>
              <w:t>£550 / 800</w:t>
            </w:r>
          </w:p>
        </w:tc>
        <w:tc>
          <w:tcPr>
            <w:tcW w:w="2713"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5AE301EB" w14:textId="77777777" w:rsidR="004D058E" w:rsidRDefault="00AA4F1F">
            <w:pPr>
              <w:spacing w:after="20"/>
            </w:pPr>
            <w:r>
              <w:rPr>
                <w:sz w:val="16"/>
                <w:szCs w:val="16"/>
              </w:rPr>
              <w:t>£775 / 1.000</w:t>
            </w:r>
          </w:p>
        </w:tc>
      </w:tr>
      <w:tr w:rsidR="004D058E" w14:paraId="772946D2" w14:textId="77777777">
        <w:trPr>
          <w:cantSplit/>
        </w:trPr>
        <w:tc>
          <w:tcPr>
            <w:tcW w:w="2871"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559EAA86" w14:textId="77777777" w:rsidR="004D058E" w:rsidRDefault="00AA4F1F">
            <w:pPr>
              <w:spacing w:after="20"/>
            </w:pPr>
            <w:r>
              <w:rPr>
                <w:sz w:val="16"/>
                <w:szCs w:val="16"/>
              </w:rPr>
              <w:t>Precio por puesto / adopción</w:t>
            </w:r>
          </w:p>
        </w:tc>
        <w:tc>
          <w:tcPr>
            <w:tcW w:w="1914"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4300B6AA" w14:textId="77777777" w:rsidR="004D058E" w:rsidRDefault="00AA4F1F">
            <w:pPr>
              <w:spacing w:after="20"/>
            </w:pPr>
            <w:r>
              <w:rPr>
                <w:sz w:val="16"/>
                <w:szCs w:val="16"/>
              </w:rPr>
              <w:t>£80 / 75 %</w:t>
            </w:r>
          </w:p>
        </w:tc>
        <w:tc>
          <w:tcPr>
            <w:tcW w:w="1914"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0D6C6563" w14:textId="77777777" w:rsidR="004D058E" w:rsidRDefault="00AA4F1F">
            <w:pPr>
              <w:spacing w:after="20"/>
            </w:pPr>
            <w:r>
              <w:rPr>
                <w:sz w:val="16"/>
                <w:szCs w:val="16"/>
              </w:rPr>
              <w:t>£60 / 60 %</w:t>
            </w:r>
          </w:p>
        </w:tc>
        <w:tc>
          <w:tcPr>
            <w:tcW w:w="2713"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127A4156" w14:textId="77777777" w:rsidR="004D058E" w:rsidRDefault="00AA4F1F">
            <w:pPr>
              <w:spacing w:after="20"/>
            </w:pPr>
            <w:r>
              <w:rPr>
                <w:sz w:val="16"/>
                <w:szCs w:val="16"/>
              </w:rPr>
              <w:t>£40 / 25 %</w:t>
            </w:r>
          </w:p>
        </w:tc>
      </w:tr>
      <w:tr w:rsidR="004D058E" w14:paraId="70B4EBB1" w14:textId="77777777">
        <w:trPr>
          <w:cantSplit/>
        </w:trPr>
        <w:tc>
          <w:tcPr>
            <w:tcW w:w="2871"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058EEA8B" w14:textId="77777777" w:rsidR="004D058E" w:rsidRDefault="00AA4F1F">
            <w:pPr>
              <w:spacing w:after="20"/>
            </w:pPr>
            <w:r>
              <w:rPr>
                <w:sz w:val="16"/>
                <w:szCs w:val="16"/>
              </w:rPr>
              <w:t>Capacidad por réplica (réplicas pico)</w:t>
            </w:r>
          </w:p>
        </w:tc>
        <w:tc>
          <w:tcPr>
            <w:tcW w:w="1914"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56C87A89" w14:textId="77777777" w:rsidR="004D058E" w:rsidRDefault="00AA4F1F">
            <w:pPr>
              <w:spacing w:after="20"/>
            </w:pPr>
            <w:r>
              <w:rPr>
                <w:sz w:val="16"/>
                <w:szCs w:val="16"/>
              </w:rPr>
              <w:t>180 (10)</w:t>
            </w:r>
          </w:p>
        </w:tc>
        <w:tc>
          <w:tcPr>
            <w:tcW w:w="1914"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6411C1C5" w14:textId="77777777" w:rsidR="004D058E" w:rsidRDefault="00AA4F1F">
            <w:pPr>
              <w:spacing w:after="20"/>
            </w:pPr>
            <w:r>
              <w:rPr>
                <w:sz w:val="16"/>
                <w:szCs w:val="16"/>
              </w:rPr>
              <w:t>180 (10)</w:t>
            </w:r>
          </w:p>
        </w:tc>
        <w:tc>
          <w:tcPr>
            <w:tcW w:w="2713"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184380E7" w14:textId="77777777" w:rsidR="004D058E" w:rsidRDefault="00AA4F1F">
            <w:pPr>
              <w:spacing w:after="20"/>
            </w:pPr>
            <w:r>
              <w:rPr>
                <w:sz w:val="16"/>
                <w:szCs w:val="16"/>
              </w:rPr>
              <w:t>100 reproducida (16)</w:t>
            </w:r>
          </w:p>
        </w:tc>
      </w:tr>
      <w:tr w:rsidR="004D058E" w14:paraId="3DB007DF" w14:textId="77777777">
        <w:trPr>
          <w:cantSplit/>
        </w:trPr>
        <w:tc>
          <w:tcPr>
            <w:tcW w:w="2871"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67C2D3F8" w14:textId="77777777" w:rsidR="004D058E" w:rsidRDefault="00AA4F1F">
            <w:pPr>
              <w:spacing w:after="20"/>
            </w:pPr>
            <w:r>
              <w:rPr>
                <w:sz w:val="16"/>
                <w:szCs w:val="16"/>
              </w:rPr>
              <w:t>Costo cloud (APIM y SB Premium en todos)</w:t>
            </w:r>
          </w:p>
        </w:tc>
        <w:tc>
          <w:tcPr>
            <w:tcW w:w="1914"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384AB5E0" w14:textId="77777777" w:rsidR="004D058E" w:rsidRDefault="00AA4F1F">
            <w:pPr>
              <w:spacing w:after="20"/>
            </w:pPr>
            <w:r>
              <w:rPr>
                <w:sz w:val="16"/>
                <w:szCs w:val="16"/>
              </w:rPr>
              <w:t>−</w:t>
            </w:r>
            <w:r>
              <w:rPr>
                <w:sz w:val="16"/>
                <w:szCs w:val="16"/>
              </w:rPr>
              <w:t>15 %</w:t>
            </w:r>
          </w:p>
        </w:tc>
        <w:tc>
          <w:tcPr>
            <w:tcW w:w="1914"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2530119E" w14:textId="77777777" w:rsidR="004D058E" w:rsidRDefault="00AA4F1F">
            <w:pPr>
              <w:spacing w:after="20"/>
            </w:pPr>
            <w:r>
              <w:rPr>
                <w:sz w:val="16"/>
                <w:szCs w:val="16"/>
              </w:rPr>
              <w:t>Lista</w:t>
            </w:r>
          </w:p>
        </w:tc>
        <w:tc>
          <w:tcPr>
            <w:tcW w:w="2713"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40209990" w14:textId="77777777" w:rsidR="004D058E" w:rsidRDefault="00AA4F1F">
            <w:pPr>
              <w:spacing w:after="20"/>
            </w:pPr>
            <w:r>
              <w:rPr>
                <w:sz w:val="16"/>
                <w:szCs w:val="16"/>
              </w:rPr>
              <w:t>+15 %</w:t>
            </w:r>
          </w:p>
        </w:tc>
      </w:tr>
      <w:tr w:rsidR="004D058E" w14:paraId="184EDB17" w14:textId="77777777">
        <w:trPr>
          <w:cantSplit/>
        </w:trPr>
        <w:tc>
          <w:tcPr>
            <w:tcW w:w="2871"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252AD8B2" w14:textId="77777777" w:rsidR="004D058E" w:rsidRDefault="00AA4F1F">
            <w:pPr>
              <w:spacing w:after="20"/>
            </w:pPr>
            <w:r>
              <w:rPr>
                <w:sz w:val="16"/>
                <w:szCs w:val="16"/>
              </w:rPr>
              <w:t>Operación MLOps / puesta en producción</w:t>
            </w:r>
          </w:p>
        </w:tc>
        <w:tc>
          <w:tcPr>
            <w:tcW w:w="1914"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77C7E09B" w14:textId="77777777" w:rsidR="004D058E" w:rsidRDefault="00AA4F1F">
            <w:pPr>
              <w:spacing w:after="20"/>
            </w:pPr>
            <w:r>
              <w:rPr>
                <w:sz w:val="16"/>
                <w:szCs w:val="16"/>
              </w:rPr>
              <w:t>15 h · mes 4</w:t>
            </w:r>
          </w:p>
        </w:tc>
        <w:tc>
          <w:tcPr>
            <w:tcW w:w="1914"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4A008023" w14:textId="77777777" w:rsidR="004D058E" w:rsidRDefault="00AA4F1F">
            <w:pPr>
              <w:spacing w:after="20"/>
            </w:pPr>
            <w:r>
              <w:rPr>
                <w:sz w:val="16"/>
                <w:szCs w:val="16"/>
              </w:rPr>
              <w:t>20 h · mes 4</w:t>
            </w:r>
          </w:p>
        </w:tc>
        <w:tc>
          <w:tcPr>
            <w:tcW w:w="2713"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104092DD" w14:textId="77777777" w:rsidR="004D058E" w:rsidRDefault="00AA4F1F">
            <w:pPr>
              <w:spacing w:after="20"/>
            </w:pPr>
            <w:r>
              <w:rPr>
                <w:sz w:val="16"/>
                <w:szCs w:val="16"/>
              </w:rPr>
              <w:t>40 h · mes 7</w:t>
            </w:r>
          </w:p>
        </w:tc>
      </w:tr>
    </w:tbl>
    <w:p w14:paraId="2437BAAD" w14:textId="77777777" w:rsidR="004D058E" w:rsidRDefault="004D058E">
      <w:pPr>
        <w:spacing w:after="6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09"/>
        <w:gridCol w:w="877"/>
        <w:gridCol w:w="877"/>
        <w:gridCol w:w="4149"/>
      </w:tblGrid>
      <w:tr w:rsidR="004D058E" w14:paraId="5AA92CE6" w14:textId="77777777">
        <w:trPr>
          <w:cantSplit/>
          <w:tblHeader/>
        </w:trPr>
        <w:tc>
          <w:tcPr>
            <w:tcW w:w="3509"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090156F8" w14:textId="77777777" w:rsidR="004D058E" w:rsidRDefault="00AA4F1F">
            <w:pPr>
              <w:spacing w:after="20"/>
            </w:pPr>
            <w:r>
              <w:rPr>
                <w:b/>
                <w:bCs/>
                <w:color w:val="FFFFFF"/>
                <w:sz w:val="16"/>
                <w:szCs w:val="16"/>
              </w:rPr>
              <w:t>Riesgo</w:t>
            </w:r>
          </w:p>
        </w:tc>
        <w:tc>
          <w:tcPr>
            <w:tcW w:w="877"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13720C96" w14:textId="77777777" w:rsidR="004D058E" w:rsidRDefault="00AA4F1F">
            <w:pPr>
              <w:spacing w:after="20"/>
            </w:pPr>
            <w:r>
              <w:rPr>
                <w:b/>
                <w:bCs/>
                <w:color w:val="FFFFFF"/>
                <w:sz w:val="16"/>
                <w:szCs w:val="16"/>
              </w:rPr>
              <w:t>Prob.</w:t>
            </w:r>
          </w:p>
        </w:tc>
        <w:tc>
          <w:tcPr>
            <w:tcW w:w="877"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19599B94" w14:textId="77777777" w:rsidR="004D058E" w:rsidRDefault="00AA4F1F">
            <w:pPr>
              <w:spacing w:after="20"/>
            </w:pPr>
            <w:r>
              <w:rPr>
                <w:b/>
                <w:bCs/>
                <w:color w:val="FFFFFF"/>
                <w:sz w:val="16"/>
                <w:szCs w:val="16"/>
              </w:rPr>
              <w:t>Impacto</w:t>
            </w:r>
          </w:p>
        </w:tc>
        <w:tc>
          <w:tcPr>
            <w:tcW w:w="4149"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1DB24260" w14:textId="77777777" w:rsidR="004D058E" w:rsidRDefault="00AA4F1F">
            <w:pPr>
              <w:spacing w:after="20"/>
            </w:pPr>
            <w:r>
              <w:rPr>
                <w:b/>
                <w:bCs/>
                <w:color w:val="FFFFFF"/>
                <w:sz w:val="16"/>
                <w:szCs w:val="16"/>
              </w:rPr>
              <w:t>Mitigación</w:t>
            </w:r>
          </w:p>
        </w:tc>
      </w:tr>
      <w:tr w:rsidR="004D058E" w14:paraId="2B3FC3AE" w14:textId="77777777">
        <w:trPr>
          <w:cantSplit/>
        </w:trPr>
        <w:tc>
          <w:tcPr>
            <w:tcW w:w="3509"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272C4D19" w14:textId="77777777" w:rsidR="004D058E" w:rsidRDefault="00AA4F1F">
            <w:pPr>
              <w:spacing w:after="20"/>
            </w:pPr>
            <w:r>
              <w:rPr>
                <w:sz w:val="16"/>
                <w:szCs w:val="16"/>
              </w:rPr>
              <w:t>Capacidad por réplica menor que la documentada</w:t>
            </w:r>
          </w:p>
        </w:tc>
        <w:tc>
          <w:tcPr>
            <w:tcW w:w="877"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69966DE1" w14:textId="77777777" w:rsidR="004D058E" w:rsidRDefault="00AA4F1F">
            <w:pPr>
              <w:spacing w:after="20"/>
            </w:pPr>
            <w:r>
              <w:rPr>
                <w:sz w:val="16"/>
                <w:szCs w:val="16"/>
              </w:rPr>
              <w:t>Alta</w:t>
            </w:r>
          </w:p>
        </w:tc>
        <w:tc>
          <w:tcPr>
            <w:tcW w:w="877"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4B023A9D" w14:textId="77777777" w:rsidR="004D058E" w:rsidRDefault="00AA4F1F">
            <w:pPr>
              <w:spacing w:after="20"/>
            </w:pPr>
            <w:r>
              <w:rPr>
                <w:sz w:val="16"/>
                <w:szCs w:val="16"/>
              </w:rPr>
              <w:t>Medio</w:t>
            </w:r>
          </w:p>
        </w:tc>
        <w:tc>
          <w:tcPr>
            <w:tcW w:w="4149"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2F8F65C3" w14:textId="77777777" w:rsidR="004D058E" w:rsidRDefault="00AA4F1F">
            <w:pPr>
              <w:spacing w:after="20"/>
            </w:pPr>
            <w:r>
              <w:rPr>
                <w:sz w:val="16"/>
                <w:szCs w:val="16"/>
              </w:rPr>
              <w:t>Prueba de carga en Azure; autoescalado; costo acotado (pesimista con 16 réplicas)</w:t>
            </w:r>
          </w:p>
        </w:tc>
      </w:tr>
      <w:tr w:rsidR="004D058E" w14:paraId="695BE52A" w14:textId="77777777">
        <w:trPr>
          <w:cantSplit/>
        </w:trPr>
        <w:tc>
          <w:tcPr>
            <w:tcW w:w="3509"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4842BBE2" w14:textId="77777777" w:rsidR="004D058E" w:rsidRDefault="00AA4F1F">
            <w:pPr>
              <w:spacing w:after="20"/>
            </w:pPr>
            <w:r>
              <w:rPr>
                <w:sz w:val="16"/>
                <w:szCs w:val="16"/>
              </w:rPr>
              <w:t>El ATE real no cumple ≤ 0,05 (confusores no observados)</w:t>
            </w:r>
          </w:p>
        </w:tc>
        <w:tc>
          <w:tcPr>
            <w:tcW w:w="877"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432EA67E" w14:textId="77777777" w:rsidR="004D058E" w:rsidRDefault="00AA4F1F">
            <w:pPr>
              <w:spacing w:after="20"/>
            </w:pPr>
            <w:r>
              <w:rPr>
                <w:sz w:val="16"/>
                <w:szCs w:val="16"/>
              </w:rPr>
              <w:t>Media</w:t>
            </w:r>
          </w:p>
        </w:tc>
        <w:tc>
          <w:tcPr>
            <w:tcW w:w="877"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6FB5FDFF" w14:textId="77777777" w:rsidR="004D058E" w:rsidRDefault="00AA4F1F">
            <w:pPr>
              <w:spacing w:after="20"/>
            </w:pPr>
            <w:r>
              <w:rPr>
                <w:sz w:val="16"/>
                <w:szCs w:val="16"/>
              </w:rPr>
              <w:t>Alto</w:t>
            </w:r>
          </w:p>
        </w:tc>
        <w:tc>
          <w:tcPr>
            <w:tcW w:w="4149"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33DE11C1" w14:textId="77777777" w:rsidR="004D058E" w:rsidRDefault="00AA4F1F">
            <w:pPr>
              <w:spacing w:after="20"/>
            </w:pPr>
            <w:r>
              <w:rPr>
                <w:sz w:val="16"/>
                <w:szCs w:val="16"/>
              </w:rPr>
              <w:t>DAG validado por expertos, refutaciones, datos experimentales</w:t>
            </w:r>
          </w:p>
        </w:tc>
      </w:tr>
      <w:tr w:rsidR="004D058E" w14:paraId="7A3EFA1B" w14:textId="77777777">
        <w:trPr>
          <w:cantSplit/>
        </w:trPr>
        <w:tc>
          <w:tcPr>
            <w:tcW w:w="3509"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0573641D" w14:textId="77777777" w:rsidR="004D058E" w:rsidRDefault="00AA4F1F">
            <w:pPr>
              <w:spacing w:after="20"/>
            </w:pPr>
            <w:r>
              <w:rPr>
                <w:sz w:val="16"/>
                <w:szCs w:val="16"/>
              </w:rPr>
              <w:t>Baja adopción o rechazo del recargo</w:t>
            </w:r>
          </w:p>
        </w:tc>
        <w:tc>
          <w:tcPr>
            <w:tcW w:w="877"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36D45692" w14:textId="77777777" w:rsidR="004D058E" w:rsidRDefault="00AA4F1F">
            <w:pPr>
              <w:spacing w:after="20"/>
            </w:pPr>
            <w:r>
              <w:rPr>
                <w:sz w:val="16"/>
                <w:szCs w:val="16"/>
              </w:rPr>
              <w:t>Media</w:t>
            </w:r>
          </w:p>
        </w:tc>
        <w:tc>
          <w:tcPr>
            <w:tcW w:w="877"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0B09F50F" w14:textId="77777777" w:rsidR="004D058E" w:rsidRDefault="00AA4F1F">
            <w:pPr>
              <w:spacing w:after="20"/>
            </w:pPr>
            <w:r>
              <w:rPr>
                <w:sz w:val="16"/>
                <w:szCs w:val="16"/>
              </w:rPr>
              <w:t>Alto</w:t>
            </w:r>
          </w:p>
        </w:tc>
        <w:tc>
          <w:tcPr>
            <w:tcW w:w="4149"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180B0802" w14:textId="77777777" w:rsidR="004D058E" w:rsidRDefault="00AA4F1F">
            <w:pPr>
              <w:spacing w:after="20"/>
            </w:pPr>
            <w:r>
              <w:rPr>
                <w:sz w:val="16"/>
                <w:szCs w:val="16"/>
              </w:rPr>
              <w:t>Piloto con compromisos ≥ umbral de equilibrio</w:t>
            </w:r>
          </w:p>
        </w:tc>
      </w:tr>
      <w:tr w:rsidR="004D058E" w14:paraId="5E3BE3FC" w14:textId="77777777">
        <w:trPr>
          <w:cantSplit/>
        </w:trPr>
        <w:tc>
          <w:tcPr>
            <w:tcW w:w="3509"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5D0DE5A7" w14:textId="77777777" w:rsidR="004D058E" w:rsidRDefault="00AA4F1F">
            <w:pPr>
              <w:spacing w:after="20"/>
            </w:pPr>
            <w:r>
              <w:rPr>
                <w:sz w:val="16"/>
                <w:szCs w:val="16"/>
              </w:rPr>
              <w:t>UK GDPR y AI Act en análisis de voz</w:t>
            </w:r>
          </w:p>
        </w:tc>
        <w:tc>
          <w:tcPr>
            <w:tcW w:w="877"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79301DA4" w14:textId="77777777" w:rsidR="004D058E" w:rsidRDefault="00AA4F1F">
            <w:pPr>
              <w:spacing w:after="20"/>
            </w:pPr>
            <w:r>
              <w:rPr>
                <w:sz w:val="16"/>
                <w:szCs w:val="16"/>
              </w:rPr>
              <w:t>Media</w:t>
            </w:r>
          </w:p>
        </w:tc>
        <w:tc>
          <w:tcPr>
            <w:tcW w:w="877"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45EE24F3" w14:textId="77777777" w:rsidR="004D058E" w:rsidRDefault="00AA4F1F">
            <w:pPr>
              <w:spacing w:after="20"/>
            </w:pPr>
            <w:r>
              <w:rPr>
                <w:sz w:val="16"/>
                <w:szCs w:val="16"/>
              </w:rPr>
              <w:t>Alto</w:t>
            </w:r>
          </w:p>
        </w:tc>
        <w:tc>
          <w:tcPr>
            <w:tcW w:w="4149"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5C0C483B" w14:textId="77777777" w:rsidR="004D058E" w:rsidRDefault="00AA4F1F">
            <w:pPr>
              <w:spacing w:after="20"/>
            </w:pPr>
            <w:r>
              <w:rPr>
                <w:sz w:val="16"/>
                <w:szCs w:val="16"/>
              </w:rPr>
              <w:t>DPIA, seudonimización, retención de 30 días, solo canal del cliente</w:t>
            </w:r>
          </w:p>
        </w:tc>
      </w:tr>
    </w:tbl>
    <w:p w14:paraId="3AA6319C" w14:textId="77777777" w:rsidR="004D058E" w:rsidRDefault="00AA4F1F">
      <w:pPr>
        <w:pStyle w:val="Ttulo1"/>
        <w:pageBreakBefore/>
      </w:pPr>
      <w:bookmarkStart w:id="10" w:name="_Toc244016979"/>
      <w:r>
        <w:lastRenderedPageBreak/>
        <w:t>8. Plan de integración, gestión del proyecto y conclusiones</w:t>
      </w:r>
      <w:bookmarkEnd w:id="10"/>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92"/>
        <w:gridCol w:w="2073"/>
        <w:gridCol w:w="4947"/>
      </w:tblGrid>
      <w:tr w:rsidR="004D058E" w14:paraId="7306E26D" w14:textId="77777777">
        <w:trPr>
          <w:cantSplit/>
          <w:tblHeader/>
        </w:trPr>
        <w:tc>
          <w:tcPr>
            <w:tcW w:w="2392"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14C9F934" w14:textId="77777777" w:rsidR="004D058E" w:rsidRDefault="00AA4F1F">
            <w:pPr>
              <w:spacing w:after="20"/>
            </w:pPr>
            <w:r>
              <w:rPr>
                <w:b/>
                <w:bCs/>
                <w:color w:val="FFFFFF"/>
                <w:sz w:val="16"/>
                <w:szCs w:val="16"/>
              </w:rPr>
              <w:t>Etapa</w:t>
            </w:r>
          </w:p>
        </w:tc>
        <w:tc>
          <w:tcPr>
            <w:tcW w:w="2073"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2369F6F7" w14:textId="77777777" w:rsidR="004D058E" w:rsidRDefault="00AA4F1F">
            <w:pPr>
              <w:spacing w:after="20"/>
            </w:pPr>
            <w:r>
              <w:rPr>
                <w:b/>
                <w:bCs/>
                <w:color w:val="FFFFFF"/>
                <w:sz w:val="16"/>
                <w:szCs w:val="16"/>
              </w:rPr>
              <w:t>Cuándo</w:t>
            </w:r>
          </w:p>
        </w:tc>
        <w:tc>
          <w:tcPr>
            <w:tcW w:w="4947"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3334289D" w14:textId="77777777" w:rsidR="004D058E" w:rsidRDefault="00AA4F1F">
            <w:pPr>
              <w:spacing w:after="20"/>
            </w:pPr>
            <w:r>
              <w:rPr>
                <w:b/>
                <w:bCs/>
                <w:color w:val="FFFFFF"/>
                <w:sz w:val="16"/>
                <w:szCs w:val="16"/>
              </w:rPr>
              <w:t>Compuerta para avanzar</w:t>
            </w:r>
          </w:p>
        </w:tc>
      </w:tr>
      <w:tr w:rsidR="004D058E" w14:paraId="22A233D7" w14:textId="77777777">
        <w:trPr>
          <w:cantSplit/>
        </w:trPr>
        <w:tc>
          <w:tcPr>
            <w:tcW w:w="2392"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6A29762B" w14:textId="77777777" w:rsidR="004D058E" w:rsidRDefault="00AA4F1F">
            <w:pPr>
              <w:spacing w:after="20"/>
            </w:pPr>
            <w:r>
              <w:rPr>
                <w:sz w:val="16"/>
                <w:szCs w:val="16"/>
              </w:rPr>
              <w:t>1. Integración (800 HH, 7 paquetes)</w:t>
            </w:r>
          </w:p>
        </w:tc>
        <w:tc>
          <w:tcPr>
            <w:tcW w:w="2073"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53A73227" w14:textId="77777777" w:rsidR="004D058E" w:rsidRDefault="00AA4F1F">
            <w:pPr>
              <w:spacing w:after="20"/>
            </w:pPr>
            <w:r>
              <w:rPr>
                <w:sz w:val="16"/>
                <w:szCs w:val="16"/>
              </w:rPr>
              <w:t>Semanas 1–12 (meses 1–3)</w:t>
            </w:r>
          </w:p>
        </w:tc>
        <w:tc>
          <w:tcPr>
            <w:tcW w:w="4947"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503BD689" w14:textId="77777777" w:rsidR="004D058E" w:rsidRDefault="00AA4F1F">
            <w:pPr>
              <w:spacing w:after="20"/>
            </w:pPr>
            <w:r>
              <w:rPr>
                <w:sz w:val="16"/>
                <w:szCs w:val="16"/>
              </w:rPr>
              <w:t>CI verde (114 pruebas, cobertura ≥ 85 %, trazabilidad) y revisión de seguridad</w:t>
            </w:r>
          </w:p>
        </w:tc>
      </w:tr>
      <w:tr w:rsidR="004D058E" w14:paraId="008B06B1" w14:textId="77777777">
        <w:trPr>
          <w:cantSplit/>
        </w:trPr>
        <w:tc>
          <w:tcPr>
            <w:tcW w:w="2392"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43AB926D" w14:textId="77777777" w:rsidR="004D058E" w:rsidRDefault="00AA4F1F">
            <w:pPr>
              <w:spacing w:after="20"/>
            </w:pPr>
            <w:r>
              <w:rPr>
                <w:sz w:val="16"/>
                <w:szCs w:val="16"/>
              </w:rPr>
              <w:t>2. Piloto en Azure</w:t>
            </w:r>
          </w:p>
        </w:tc>
        <w:tc>
          <w:tcPr>
            <w:tcW w:w="2073"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281D38D7" w14:textId="77777777" w:rsidR="004D058E" w:rsidRDefault="00AA4F1F">
            <w:pPr>
              <w:spacing w:after="20"/>
            </w:pPr>
            <w:r>
              <w:rPr>
                <w:sz w:val="16"/>
                <w:szCs w:val="16"/>
              </w:rPr>
              <w:t>Mes 4</w:t>
            </w:r>
          </w:p>
        </w:tc>
        <w:tc>
          <w:tcPr>
            <w:tcW w:w="4947"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041A5066" w14:textId="77777777" w:rsidR="004D058E" w:rsidRDefault="00AA4F1F">
            <w:pPr>
              <w:spacing w:after="20"/>
            </w:pPr>
            <w:r>
              <w:rPr>
                <w:sz w:val="16"/>
                <w:szCs w:val="16"/>
              </w:rPr>
              <w:t>Carga de 1.500 llamadas con p95 &lt; 250 ms; ATE ≤ 0,05 con datos de Alloxentric; DPIA</w:t>
            </w:r>
          </w:p>
        </w:tc>
      </w:tr>
      <w:tr w:rsidR="004D058E" w14:paraId="15A02EE8" w14:textId="77777777">
        <w:trPr>
          <w:cantSplit/>
        </w:trPr>
        <w:tc>
          <w:tcPr>
            <w:tcW w:w="2392"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708C592A" w14:textId="77777777" w:rsidR="004D058E" w:rsidRDefault="00AA4F1F">
            <w:pPr>
              <w:spacing w:after="20"/>
            </w:pPr>
            <w:r>
              <w:rPr>
                <w:sz w:val="16"/>
                <w:szCs w:val="16"/>
              </w:rPr>
              <w:t>3. Comercial</w:t>
            </w:r>
          </w:p>
        </w:tc>
        <w:tc>
          <w:tcPr>
            <w:tcW w:w="2073"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5345882F" w14:textId="77777777" w:rsidR="004D058E" w:rsidRDefault="00AA4F1F">
            <w:pPr>
              <w:spacing w:after="20"/>
            </w:pPr>
            <w:r>
              <w:rPr>
                <w:sz w:val="16"/>
                <w:szCs w:val="16"/>
              </w:rPr>
              <w:t>Meses 4–15</w:t>
            </w:r>
          </w:p>
        </w:tc>
        <w:tc>
          <w:tcPr>
            <w:tcW w:w="4947"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2D86560E" w14:textId="77777777" w:rsidR="004D058E" w:rsidRDefault="00AA4F1F">
            <w:pPr>
              <w:spacing w:after="20"/>
            </w:pPr>
            <w:r>
              <w:rPr>
                <w:sz w:val="16"/>
                <w:szCs w:val="16"/>
              </w:rPr>
              <w:t>Adopción comprometida ≥ umbral de equilibrio</w:t>
            </w:r>
          </w:p>
        </w:tc>
      </w:tr>
      <w:tr w:rsidR="004D058E" w14:paraId="54F4E439" w14:textId="77777777">
        <w:trPr>
          <w:cantSplit/>
        </w:trPr>
        <w:tc>
          <w:tcPr>
            <w:tcW w:w="2392"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3D342943" w14:textId="77777777" w:rsidR="004D058E" w:rsidRDefault="00AA4F1F">
            <w:pPr>
              <w:spacing w:after="20"/>
            </w:pPr>
            <w:r>
              <w:rPr>
                <w:sz w:val="16"/>
                <w:szCs w:val="16"/>
              </w:rPr>
              <w:t>4. Operación</w:t>
            </w:r>
          </w:p>
        </w:tc>
        <w:tc>
          <w:tcPr>
            <w:tcW w:w="2073"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151FC4E9" w14:textId="77777777" w:rsidR="004D058E" w:rsidRDefault="00AA4F1F">
            <w:pPr>
              <w:spacing w:after="20"/>
            </w:pPr>
            <w:r>
              <w:rPr>
                <w:sz w:val="16"/>
                <w:szCs w:val="16"/>
              </w:rPr>
              <w:t>Continua</w:t>
            </w:r>
          </w:p>
        </w:tc>
        <w:tc>
          <w:tcPr>
            <w:tcW w:w="4947"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7ED1E2C0" w14:textId="77777777" w:rsidR="004D058E" w:rsidRDefault="00AA4F1F">
            <w:pPr>
              <w:spacing w:after="20"/>
            </w:pPr>
            <w:r>
              <w:rPr>
                <w:sz w:val="16"/>
                <w:szCs w:val="16"/>
              </w:rPr>
              <w:t>Recalibración con gate; VAN ex post trimestral</w:t>
            </w:r>
          </w:p>
        </w:tc>
      </w:tr>
    </w:tbl>
    <w:p w14:paraId="51E43DF1" w14:textId="77777777" w:rsidR="004D058E" w:rsidRDefault="00AA4F1F">
      <w:pPr>
        <w:pStyle w:val="Ttulo2"/>
      </w:pPr>
      <w:bookmarkStart w:id="11" w:name="_Toc244016980"/>
      <w:r>
        <w:t>8.1 Gestión y control del proyecto de integración (EVM)</w:t>
      </w:r>
      <w:bookmarkEnd w:id="11"/>
    </w:p>
    <w:p w14:paraId="3C291B38" w14:textId="77777777" w:rsidR="004D058E" w:rsidRDefault="00AA4F1F">
      <w:pPr>
        <w:spacing w:after="120" w:line="276" w:lineRule="auto"/>
        <w:jc w:val="both"/>
      </w:pPr>
      <w:r>
        <w:t xml:space="preserve">Línea base: las 800 HH del caso en 7 paquetes y 12 semanas (BAC = £58,667 a £73,33/h). Fecha de corte: fin de la semana 6; las restricciones R1 y R2 se inyectaron en la semana 5. </w:t>
      </w:r>
      <w:r>
        <w:rPr>
          <w:b/>
          <w:bCs/>
        </w:rPr>
        <w:t>Origen de los datos</w:t>
      </w:r>
      <w:r>
        <w:t>: PV de la línea base; EV estimado desde entregables verif</w:t>
      </w:r>
      <w:r>
        <w:t xml:space="preserve">icables de la PoC; </w:t>
      </w:r>
      <w:r>
        <w:rPr>
          <w:b/>
          <w:bCs/>
        </w:rPr>
        <w:t>AC simulado</w:t>
      </w:r>
      <w:r>
        <w:t xml:space="preserve"> para el ejercicio académico, con el retrabajo del incidente. No son horas registradas ni datos del proyecto TryAIGap.</w:t>
      </w:r>
    </w:p>
    <w:p w14:paraId="100616ED" w14:textId="77777777" w:rsidR="004D058E" w:rsidRDefault="00AA4F1F">
      <w:pPr>
        <w:keepNext/>
        <w:spacing w:before="60" w:after="40"/>
        <w:jc w:val="center"/>
      </w:pPr>
      <w:r>
        <w:rPr>
          <w:noProof/>
        </w:rPr>
        <w:drawing>
          <wp:inline distT="0" distB="0" distL="0" distR="0" wp14:anchorId="24F21E2C" wp14:editId="777C36DA">
            <wp:extent cx="4762500" cy="2438400"/>
            <wp:effectExtent l="0" t="0" r="0" b="0"/>
            <wp:docPr id="8" name="png/erv_evm_curva_s.png" descr="png/erv_evm_curva_s.png" title="png/erv_evm_curva_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438400"/>
                    </a:xfrm>
                    <a:prstGeom prst="rect">
                      <a:avLst/>
                    </a:prstGeom>
                  </pic:spPr>
                </pic:pic>
              </a:graphicData>
            </a:graphic>
          </wp:inline>
        </w:drawing>
      </w:r>
    </w:p>
    <w:p w14:paraId="54AA44EF" w14:textId="77777777" w:rsidR="004D058E" w:rsidRDefault="00AA4F1F">
      <w:pPr>
        <w:spacing w:before="60" w:after="200"/>
        <w:jc w:val="center"/>
      </w:pPr>
      <w:r>
        <w:rPr>
          <w:i/>
          <w:iCs/>
          <w:color w:val="5C7390"/>
          <w:sz w:val="18"/>
          <w:szCs w:val="18"/>
        </w:rPr>
        <w:t>Figura 8.1. Curva S del proyecto de integración (PV, EV y AC simulado).</w:t>
      </w:r>
    </w:p>
    <w:p w14:paraId="23235F91" w14:textId="77777777" w:rsidR="004D058E" w:rsidRDefault="00AA4F1F">
      <w:pPr>
        <w:keepNext/>
        <w:spacing w:before="60" w:after="40"/>
        <w:jc w:val="center"/>
      </w:pPr>
      <w:r>
        <w:rPr>
          <w:noProof/>
        </w:rPr>
        <w:drawing>
          <wp:inline distT="0" distB="0" distL="0" distR="0" wp14:anchorId="7351443A" wp14:editId="0FB348CE">
            <wp:extent cx="3143250" cy="2552700"/>
            <wp:effectExtent l="0" t="0" r="0" b="0"/>
            <wp:docPr id="9" name="png/erv_evm_cuadrante.png" descr="png/erv_evm_cuadrante.png" title="png/erv_evm_cuadra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143250" cy="2552700"/>
                    </a:xfrm>
                    <a:prstGeom prst="rect">
                      <a:avLst/>
                    </a:prstGeom>
                  </pic:spPr>
                </pic:pic>
              </a:graphicData>
            </a:graphic>
          </wp:inline>
        </w:drawing>
      </w:r>
    </w:p>
    <w:p w14:paraId="1F15EFE1" w14:textId="77777777" w:rsidR="004D058E" w:rsidRDefault="00AA4F1F">
      <w:pPr>
        <w:spacing w:before="60" w:after="200"/>
        <w:jc w:val="center"/>
      </w:pPr>
      <w:r>
        <w:rPr>
          <w:i/>
          <w:iCs/>
          <w:color w:val="5C7390"/>
          <w:sz w:val="18"/>
          <w:szCs w:val="18"/>
        </w:rPr>
        <w:t>Figura 8.2. Cuadrante SPI × CPI</w:t>
      </w:r>
      <w:r>
        <w:rPr>
          <w:i/>
          <w:iCs/>
          <w:color w:val="5C7390"/>
          <w:sz w:val="18"/>
          <w:szCs w:val="18"/>
        </w:rPr>
        <w:t xml:space="preserve"> (cortes en SPI = 1 y CPI = 1); trayectoria semanal hasta el corte.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6"/>
        <w:gridCol w:w="1176"/>
        <w:gridCol w:w="1512"/>
        <w:gridCol w:w="924"/>
        <w:gridCol w:w="924"/>
        <w:gridCol w:w="2353"/>
        <w:gridCol w:w="1347"/>
      </w:tblGrid>
      <w:tr w:rsidR="004D058E" w14:paraId="764CB3CB" w14:textId="77777777">
        <w:trPr>
          <w:cantSplit/>
          <w:tblHeader/>
        </w:trPr>
        <w:tc>
          <w:tcPr>
            <w:tcW w:w="1176"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27A0590A" w14:textId="77777777" w:rsidR="004D058E" w:rsidRDefault="00AA4F1F">
            <w:pPr>
              <w:spacing w:after="20"/>
            </w:pPr>
            <w:r>
              <w:rPr>
                <w:b/>
                <w:bCs/>
                <w:color w:val="FFFFFF"/>
                <w:sz w:val="16"/>
                <w:szCs w:val="16"/>
              </w:rPr>
              <w:t>PV</w:t>
            </w:r>
          </w:p>
        </w:tc>
        <w:tc>
          <w:tcPr>
            <w:tcW w:w="1176"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4D84A75A" w14:textId="77777777" w:rsidR="004D058E" w:rsidRDefault="00AA4F1F">
            <w:pPr>
              <w:spacing w:after="20"/>
            </w:pPr>
            <w:r>
              <w:rPr>
                <w:b/>
                <w:bCs/>
                <w:color w:val="FFFFFF"/>
                <w:sz w:val="16"/>
                <w:szCs w:val="16"/>
              </w:rPr>
              <w:t>EV</w:t>
            </w:r>
          </w:p>
        </w:tc>
        <w:tc>
          <w:tcPr>
            <w:tcW w:w="1512"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751515E9" w14:textId="77777777" w:rsidR="004D058E" w:rsidRDefault="00AA4F1F">
            <w:pPr>
              <w:spacing w:after="20"/>
            </w:pPr>
            <w:r>
              <w:rPr>
                <w:b/>
                <w:bCs/>
                <w:color w:val="FFFFFF"/>
                <w:sz w:val="16"/>
                <w:szCs w:val="16"/>
              </w:rPr>
              <w:t>AC (simulado)</w:t>
            </w:r>
          </w:p>
        </w:tc>
        <w:tc>
          <w:tcPr>
            <w:tcW w:w="924"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44F69344" w14:textId="77777777" w:rsidR="004D058E" w:rsidRDefault="00AA4F1F">
            <w:pPr>
              <w:spacing w:after="20"/>
            </w:pPr>
            <w:r>
              <w:rPr>
                <w:b/>
                <w:bCs/>
                <w:color w:val="FFFFFF"/>
                <w:sz w:val="16"/>
                <w:szCs w:val="16"/>
              </w:rPr>
              <w:t>SPI</w:t>
            </w:r>
          </w:p>
        </w:tc>
        <w:tc>
          <w:tcPr>
            <w:tcW w:w="924"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427C68DA" w14:textId="77777777" w:rsidR="004D058E" w:rsidRDefault="00AA4F1F">
            <w:pPr>
              <w:spacing w:after="20"/>
            </w:pPr>
            <w:r>
              <w:rPr>
                <w:b/>
                <w:bCs/>
                <w:color w:val="FFFFFF"/>
                <w:sz w:val="16"/>
                <w:szCs w:val="16"/>
              </w:rPr>
              <w:t>CPI</w:t>
            </w:r>
          </w:p>
        </w:tc>
        <w:tc>
          <w:tcPr>
            <w:tcW w:w="2353"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39CF422C" w14:textId="77777777" w:rsidR="004D058E" w:rsidRDefault="00AA4F1F">
            <w:pPr>
              <w:spacing w:after="20"/>
            </w:pPr>
            <w:r>
              <w:rPr>
                <w:b/>
                <w:bCs/>
                <w:color w:val="FFFFFF"/>
                <w:sz w:val="16"/>
                <w:szCs w:val="16"/>
              </w:rPr>
              <w:t>EAC</w:t>
            </w:r>
          </w:p>
        </w:tc>
        <w:tc>
          <w:tcPr>
            <w:tcW w:w="1347"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5F2A56B1" w14:textId="77777777" w:rsidR="004D058E" w:rsidRDefault="00AA4F1F">
            <w:pPr>
              <w:spacing w:after="20"/>
            </w:pPr>
            <w:r>
              <w:rPr>
                <w:b/>
                <w:bCs/>
                <w:color w:val="FFFFFF"/>
                <w:sz w:val="16"/>
                <w:szCs w:val="16"/>
              </w:rPr>
              <w:t>VAC</w:t>
            </w:r>
          </w:p>
        </w:tc>
      </w:tr>
      <w:tr w:rsidR="004D058E" w14:paraId="1B2ABEF1" w14:textId="77777777">
        <w:trPr>
          <w:cantSplit/>
        </w:trPr>
        <w:tc>
          <w:tcPr>
            <w:tcW w:w="1176"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779A575F" w14:textId="77777777" w:rsidR="004D058E" w:rsidRDefault="00AA4F1F">
            <w:pPr>
              <w:spacing w:after="20"/>
            </w:pPr>
            <w:r>
              <w:rPr>
                <w:sz w:val="16"/>
                <w:szCs w:val="16"/>
              </w:rPr>
              <w:t>457 HH</w:t>
            </w:r>
          </w:p>
        </w:tc>
        <w:tc>
          <w:tcPr>
            <w:tcW w:w="1176"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7716D59D" w14:textId="77777777" w:rsidR="004D058E" w:rsidRDefault="00AA4F1F">
            <w:pPr>
              <w:spacing w:after="20"/>
            </w:pPr>
            <w:r>
              <w:rPr>
                <w:sz w:val="16"/>
                <w:szCs w:val="16"/>
              </w:rPr>
              <w:t>499 HH</w:t>
            </w:r>
          </w:p>
        </w:tc>
        <w:tc>
          <w:tcPr>
            <w:tcW w:w="1512"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420DDCD9" w14:textId="77777777" w:rsidR="004D058E" w:rsidRDefault="00AA4F1F">
            <w:pPr>
              <w:spacing w:after="20"/>
            </w:pPr>
            <w:r>
              <w:rPr>
                <w:sz w:val="16"/>
                <w:szCs w:val="16"/>
              </w:rPr>
              <w:t>546 HH</w:t>
            </w:r>
          </w:p>
        </w:tc>
        <w:tc>
          <w:tcPr>
            <w:tcW w:w="924"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28DE5191" w14:textId="77777777" w:rsidR="004D058E" w:rsidRDefault="00AA4F1F">
            <w:pPr>
              <w:spacing w:after="20"/>
            </w:pPr>
            <w:r>
              <w:rPr>
                <w:sz w:val="16"/>
                <w:szCs w:val="16"/>
              </w:rPr>
              <w:t>1,09</w:t>
            </w:r>
          </w:p>
        </w:tc>
        <w:tc>
          <w:tcPr>
            <w:tcW w:w="924"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73EBEE41" w14:textId="77777777" w:rsidR="004D058E" w:rsidRDefault="00AA4F1F">
            <w:pPr>
              <w:spacing w:after="20"/>
            </w:pPr>
            <w:r>
              <w:rPr>
                <w:sz w:val="16"/>
                <w:szCs w:val="16"/>
              </w:rPr>
              <w:t>0,91</w:t>
            </w:r>
          </w:p>
        </w:tc>
        <w:tc>
          <w:tcPr>
            <w:tcW w:w="2353"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3D2037DD" w14:textId="77777777" w:rsidR="004D058E" w:rsidRDefault="00AA4F1F">
            <w:pPr>
              <w:spacing w:after="20"/>
            </w:pPr>
            <w:r>
              <w:rPr>
                <w:sz w:val="16"/>
                <w:szCs w:val="16"/>
              </w:rPr>
              <w:t>875 HH (£64,196)</w:t>
            </w:r>
          </w:p>
        </w:tc>
        <w:tc>
          <w:tcPr>
            <w:tcW w:w="1347"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180BE3B1" w14:textId="77777777" w:rsidR="004D058E" w:rsidRDefault="00AA4F1F">
            <w:pPr>
              <w:spacing w:after="20"/>
            </w:pPr>
            <w:r>
              <w:rPr>
                <w:sz w:val="16"/>
                <w:szCs w:val="16"/>
              </w:rPr>
              <w:t>-75 HH</w:t>
            </w:r>
          </w:p>
        </w:tc>
      </w:tr>
    </w:tbl>
    <w:p w14:paraId="51EBDB85" w14:textId="77777777" w:rsidR="004D058E" w:rsidRDefault="00AA4F1F">
      <w:pPr>
        <w:spacing w:after="120" w:line="276" w:lineRule="auto"/>
        <w:jc w:val="both"/>
      </w:pPr>
      <w:r>
        <w:lastRenderedPageBreak/>
        <w:t>Lectura: cuadrante IV (adelantado y sobre costo). El pipeline y las pruebas avanzaron antes de lo planificado; el sobrecosto se concentra en integración Azure y seguridad por el retrabajo de R1 y R2. La reserva de 80 HH (10 %, incluida en el CAPEX) cubre e</w:t>
      </w:r>
      <w:r>
        <w:t xml:space="preserve">l desvío proyectado de 75 HH. </w:t>
      </w:r>
      <w:r>
        <w:rPr>
          <w:b/>
          <w:bCs/>
        </w:rPr>
        <w:t>Acciones correctivas</w:t>
      </w:r>
      <w:r>
        <w:t>: congelar el alcance de los paquetes de Azure y seguridad en los controles ya implementados; aprobar formalmente el uso de la reserva; seguimiento semanal del CPI con meta TCPI 1,19.</w:t>
      </w:r>
    </w:p>
    <w:p w14:paraId="60517174" w14:textId="77777777" w:rsidR="004D058E" w:rsidRDefault="00AA4F1F">
      <w:pPr>
        <w:pStyle w:val="Ttulo2"/>
      </w:pPr>
      <w:bookmarkStart w:id="12" w:name="_Toc244016981"/>
      <w:r>
        <w:t>8.2 Matriz RACI propue</w:t>
      </w:r>
      <w:r>
        <w:t>sta</w:t>
      </w:r>
      <w:bookmarkEnd w:id="12"/>
    </w:p>
    <w:p w14:paraId="2F7A5DD0" w14:textId="77777777" w:rsidR="004D058E" w:rsidRDefault="00AA4F1F">
      <w:pPr>
        <w:spacing w:after="120" w:line="276" w:lineRule="auto"/>
        <w:jc w:val="both"/>
      </w:pPr>
      <w:r>
        <w:t>Propuesta de distribución para el proyecto de integración: los roles del grupo rotan y la matriz no fija cargos permanentes ni describe el historial de commits de cada integrante.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90"/>
        <w:gridCol w:w="1276"/>
        <w:gridCol w:w="1515"/>
        <w:gridCol w:w="1754"/>
        <w:gridCol w:w="1677"/>
      </w:tblGrid>
      <w:tr w:rsidR="004D058E" w14:paraId="1D8C97A1" w14:textId="77777777">
        <w:trPr>
          <w:cantSplit/>
          <w:tblHeader/>
        </w:trPr>
        <w:tc>
          <w:tcPr>
            <w:tcW w:w="3190"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046DB2E8" w14:textId="77777777" w:rsidR="004D058E" w:rsidRDefault="00AA4F1F">
            <w:pPr>
              <w:spacing w:after="20"/>
            </w:pPr>
            <w:r>
              <w:rPr>
                <w:b/>
                <w:bCs/>
                <w:color w:val="FFFFFF"/>
                <w:sz w:val="16"/>
                <w:szCs w:val="16"/>
              </w:rPr>
              <w:t>Paquete</w:t>
            </w:r>
          </w:p>
        </w:tc>
        <w:tc>
          <w:tcPr>
            <w:tcW w:w="1276"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7F75268D" w14:textId="77777777" w:rsidR="004D058E" w:rsidRDefault="00AA4F1F">
            <w:pPr>
              <w:spacing w:after="20"/>
            </w:pPr>
            <w:r>
              <w:rPr>
                <w:b/>
                <w:bCs/>
                <w:color w:val="FFFFFF"/>
                <w:sz w:val="16"/>
                <w:szCs w:val="16"/>
              </w:rPr>
              <w:t>Líder</w:t>
            </w:r>
          </w:p>
        </w:tc>
        <w:tc>
          <w:tcPr>
            <w:tcW w:w="1515"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4C54D8DF" w14:textId="77777777" w:rsidR="004D058E" w:rsidRDefault="00AA4F1F">
            <w:pPr>
              <w:spacing w:after="20"/>
            </w:pPr>
            <w:r>
              <w:rPr>
                <w:b/>
                <w:bCs/>
                <w:color w:val="FFFFFF"/>
                <w:sz w:val="16"/>
                <w:szCs w:val="16"/>
              </w:rPr>
              <w:t>Arquitecto/a</w:t>
            </w:r>
          </w:p>
        </w:tc>
        <w:tc>
          <w:tcPr>
            <w:tcW w:w="1754"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6E10C158" w14:textId="77777777" w:rsidR="004D058E" w:rsidRDefault="00AA4F1F">
            <w:pPr>
              <w:spacing w:after="20"/>
            </w:pPr>
            <w:r>
              <w:rPr>
                <w:b/>
                <w:bCs/>
                <w:color w:val="FFFFFF"/>
                <w:sz w:val="16"/>
                <w:szCs w:val="16"/>
              </w:rPr>
              <w:t>IA/MLOps y SQA</w:t>
            </w:r>
          </w:p>
        </w:tc>
        <w:tc>
          <w:tcPr>
            <w:tcW w:w="1677"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13D6411C" w14:textId="77777777" w:rsidR="004D058E" w:rsidRDefault="00AA4F1F">
            <w:pPr>
              <w:spacing w:after="20"/>
            </w:pPr>
            <w:r>
              <w:rPr>
                <w:b/>
                <w:bCs/>
                <w:color w:val="FFFFFF"/>
                <w:sz w:val="16"/>
                <w:szCs w:val="16"/>
              </w:rPr>
              <w:t>Cloud y seguridad</w:t>
            </w:r>
          </w:p>
        </w:tc>
      </w:tr>
      <w:tr w:rsidR="004D058E" w14:paraId="7FA2D5B3" w14:textId="77777777">
        <w:trPr>
          <w:cantSplit/>
        </w:trPr>
        <w:tc>
          <w:tcPr>
            <w:tcW w:w="3190"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35A1C7C4" w14:textId="77777777" w:rsidR="004D058E" w:rsidRDefault="00AA4F1F">
            <w:pPr>
              <w:spacing w:after="20"/>
            </w:pPr>
            <w:r>
              <w:rPr>
                <w:sz w:val="16"/>
                <w:szCs w:val="16"/>
              </w:rPr>
              <w:t>Gestión, gobernanza y DPIA</w:t>
            </w:r>
          </w:p>
        </w:tc>
        <w:tc>
          <w:tcPr>
            <w:tcW w:w="1276"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1A798099" w14:textId="77777777" w:rsidR="004D058E" w:rsidRDefault="00AA4F1F">
            <w:pPr>
              <w:spacing w:after="20"/>
            </w:pPr>
            <w:r>
              <w:rPr>
                <w:sz w:val="16"/>
                <w:szCs w:val="16"/>
              </w:rPr>
              <w:t>R/A</w:t>
            </w:r>
          </w:p>
        </w:tc>
        <w:tc>
          <w:tcPr>
            <w:tcW w:w="1515"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4247319E" w14:textId="77777777" w:rsidR="004D058E" w:rsidRDefault="00AA4F1F">
            <w:pPr>
              <w:spacing w:after="20"/>
            </w:pPr>
            <w:r>
              <w:rPr>
                <w:sz w:val="16"/>
                <w:szCs w:val="16"/>
              </w:rPr>
              <w:t>C</w:t>
            </w:r>
          </w:p>
        </w:tc>
        <w:tc>
          <w:tcPr>
            <w:tcW w:w="1754"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4047518A" w14:textId="77777777" w:rsidR="004D058E" w:rsidRDefault="00AA4F1F">
            <w:pPr>
              <w:spacing w:after="20"/>
            </w:pPr>
            <w:r>
              <w:rPr>
                <w:sz w:val="16"/>
                <w:szCs w:val="16"/>
              </w:rPr>
              <w:t>C</w:t>
            </w:r>
          </w:p>
        </w:tc>
        <w:tc>
          <w:tcPr>
            <w:tcW w:w="1677"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0B0FFE7E" w14:textId="77777777" w:rsidR="004D058E" w:rsidRDefault="00AA4F1F">
            <w:pPr>
              <w:spacing w:after="20"/>
            </w:pPr>
            <w:r>
              <w:rPr>
                <w:sz w:val="16"/>
                <w:szCs w:val="16"/>
              </w:rPr>
              <w:t>C</w:t>
            </w:r>
          </w:p>
        </w:tc>
      </w:tr>
      <w:tr w:rsidR="004D058E" w14:paraId="491EE611" w14:textId="77777777">
        <w:trPr>
          <w:cantSplit/>
        </w:trPr>
        <w:tc>
          <w:tcPr>
            <w:tcW w:w="3190"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24ED417E" w14:textId="77777777" w:rsidR="004D058E" w:rsidRDefault="00AA4F1F">
            <w:pPr>
              <w:spacing w:after="20"/>
            </w:pPr>
            <w:r>
              <w:rPr>
                <w:sz w:val="16"/>
                <w:szCs w:val="16"/>
              </w:rPr>
              <w:t>Refactorización en dos servicios</w:t>
            </w:r>
          </w:p>
        </w:tc>
        <w:tc>
          <w:tcPr>
            <w:tcW w:w="1276"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3CF65637" w14:textId="77777777" w:rsidR="004D058E" w:rsidRDefault="00AA4F1F">
            <w:pPr>
              <w:spacing w:after="20"/>
            </w:pPr>
            <w:r>
              <w:rPr>
                <w:sz w:val="16"/>
                <w:szCs w:val="16"/>
              </w:rPr>
              <w:t>A</w:t>
            </w:r>
          </w:p>
        </w:tc>
        <w:tc>
          <w:tcPr>
            <w:tcW w:w="1515"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515654D8" w14:textId="77777777" w:rsidR="004D058E" w:rsidRDefault="00AA4F1F">
            <w:pPr>
              <w:spacing w:after="20"/>
            </w:pPr>
            <w:r>
              <w:rPr>
                <w:sz w:val="16"/>
                <w:szCs w:val="16"/>
              </w:rPr>
              <w:t>R</w:t>
            </w:r>
          </w:p>
        </w:tc>
        <w:tc>
          <w:tcPr>
            <w:tcW w:w="1754"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7801CCA4" w14:textId="77777777" w:rsidR="004D058E" w:rsidRDefault="00AA4F1F">
            <w:pPr>
              <w:spacing w:after="20"/>
            </w:pPr>
            <w:r>
              <w:rPr>
                <w:sz w:val="16"/>
                <w:szCs w:val="16"/>
              </w:rPr>
              <w:t>C</w:t>
            </w:r>
          </w:p>
        </w:tc>
        <w:tc>
          <w:tcPr>
            <w:tcW w:w="1677"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7814982D" w14:textId="77777777" w:rsidR="004D058E" w:rsidRDefault="00AA4F1F">
            <w:pPr>
              <w:spacing w:after="20"/>
            </w:pPr>
            <w:r>
              <w:rPr>
                <w:sz w:val="16"/>
                <w:szCs w:val="16"/>
              </w:rPr>
              <w:t>I</w:t>
            </w:r>
          </w:p>
        </w:tc>
      </w:tr>
      <w:tr w:rsidR="004D058E" w14:paraId="6DFDCCF0" w14:textId="77777777">
        <w:trPr>
          <w:cantSplit/>
        </w:trPr>
        <w:tc>
          <w:tcPr>
            <w:tcW w:w="3190"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416CED6C" w14:textId="77777777" w:rsidR="004D058E" w:rsidRDefault="00AA4F1F">
            <w:pPr>
              <w:spacing w:after="20"/>
            </w:pPr>
            <w:r>
              <w:rPr>
                <w:sz w:val="16"/>
                <w:szCs w:val="16"/>
              </w:rPr>
              <w:t>Integración Azure y seguridad</w:t>
            </w:r>
          </w:p>
        </w:tc>
        <w:tc>
          <w:tcPr>
            <w:tcW w:w="1276"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0ADD1A82" w14:textId="77777777" w:rsidR="004D058E" w:rsidRDefault="00AA4F1F">
            <w:pPr>
              <w:spacing w:after="20"/>
            </w:pPr>
            <w:r>
              <w:rPr>
                <w:sz w:val="16"/>
                <w:szCs w:val="16"/>
              </w:rPr>
              <w:t>A</w:t>
            </w:r>
          </w:p>
        </w:tc>
        <w:tc>
          <w:tcPr>
            <w:tcW w:w="1515"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5F4EB1A2" w14:textId="77777777" w:rsidR="004D058E" w:rsidRDefault="00AA4F1F">
            <w:pPr>
              <w:spacing w:after="20"/>
            </w:pPr>
            <w:r>
              <w:rPr>
                <w:sz w:val="16"/>
                <w:szCs w:val="16"/>
              </w:rPr>
              <w:t>C</w:t>
            </w:r>
          </w:p>
        </w:tc>
        <w:tc>
          <w:tcPr>
            <w:tcW w:w="1754"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69018DD5" w14:textId="77777777" w:rsidR="004D058E" w:rsidRDefault="00AA4F1F">
            <w:pPr>
              <w:spacing w:after="20"/>
            </w:pPr>
            <w:r>
              <w:rPr>
                <w:sz w:val="16"/>
                <w:szCs w:val="16"/>
              </w:rPr>
              <w:t>I</w:t>
            </w:r>
          </w:p>
        </w:tc>
        <w:tc>
          <w:tcPr>
            <w:tcW w:w="1677"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7BAB197D" w14:textId="77777777" w:rsidR="004D058E" w:rsidRDefault="00AA4F1F">
            <w:pPr>
              <w:spacing w:after="20"/>
            </w:pPr>
            <w:r>
              <w:rPr>
                <w:sz w:val="16"/>
                <w:szCs w:val="16"/>
              </w:rPr>
              <w:t>R</w:t>
            </w:r>
          </w:p>
        </w:tc>
      </w:tr>
      <w:tr w:rsidR="004D058E" w14:paraId="29218D31" w14:textId="77777777">
        <w:trPr>
          <w:cantSplit/>
        </w:trPr>
        <w:tc>
          <w:tcPr>
            <w:tcW w:w="3190"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3CAC0F32" w14:textId="77777777" w:rsidR="004D058E" w:rsidRDefault="00AA4F1F">
            <w:pPr>
              <w:spacing w:after="20"/>
            </w:pPr>
            <w:r>
              <w:rPr>
                <w:sz w:val="16"/>
                <w:szCs w:val="16"/>
              </w:rPr>
              <w:t>Pipeline MLOps, pruebas y gate ATE</w:t>
            </w:r>
          </w:p>
        </w:tc>
        <w:tc>
          <w:tcPr>
            <w:tcW w:w="1276"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2FCFBC52" w14:textId="77777777" w:rsidR="004D058E" w:rsidRDefault="00AA4F1F">
            <w:pPr>
              <w:spacing w:after="20"/>
            </w:pPr>
            <w:r>
              <w:rPr>
                <w:sz w:val="16"/>
                <w:szCs w:val="16"/>
              </w:rPr>
              <w:t>A</w:t>
            </w:r>
          </w:p>
        </w:tc>
        <w:tc>
          <w:tcPr>
            <w:tcW w:w="1515"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4F785062" w14:textId="77777777" w:rsidR="004D058E" w:rsidRDefault="00AA4F1F">
            <w:pPr>
              <w:spacing w:after="20"/>
            </w:pPr>
            <w:r>
              <w:rPr>
                <w:sz w:val="16"/>
                <w:szCs w:val="16"/>
              </w:rPr>
              <w:t>C</w:t>
            </w:r>
          </w:p>
        </w:tc>
        <w:tc>
          <w:tcPr>
            <w:tcW w:w="1754"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55B09B17" w14:textId="77777777" w:rsidR="004D058E" w:rsidRDefault="00AA4F1F">
            <w:pPr>
              <w:spacing w:after="20"/>
            </w:pPr>
            <w:r>
              <w:rPr>
                <w:sz w:val="16"/>
                <w:szCs w:val="16"/>
              </w:rPr>
              <w:t>R</w:t>
            </w:r>
          </w:p>
        </w:tc>
        <w:tc>
          <w:tcPr>
            <w:tcW w:w="1677"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733A92E0" w14:textId="77777777" w:rsidR="004D058E" w:rsidRDefault="00AA4F1F">
            <w:pPr>
              <w:spacing w:after="20"/>
            </w:pPr>
            <w:r>
              <w:rPr>
                <w:sz w:val="16"/>
                <w:szCs w:val="16"/>
              </w:rPr>
              <w:t>C</w:t>
            </w:r>
          </w:p>
        </w:tc>
      </w:tr>
      <w:tr w:rsidR="004D058E" w14:paraId="3B3D9EF3" w14:textId="77777777">
        <w:trPr>
          <w:cantSplit/>
        </w:trPr>
        <w:tc>
          <w:tcPr>
            <w:tcW w:w="3190"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07326759" w14:textId="77777777" w:rsidR="004D058E" w:rsidRDefault="00AA4F1F">
            <w:pPr>
              <w:spacing w:after="20"/>
            </w:pPr>
            <w:r>
              <w:rPr>
                <w:sz w:val="16"/>
                <w:szCs w:val="16"/>
              </w:rPr>
              <w:t>Evaluación económica e Informe ERV</w:t>
            </w:r>
          </w:p>
        </w:tc>
        <w:tc>
          <w:tcPr>
            <w:tcW w:w="1276"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33B36CF1" w14:textId="77777777" w:rsidR="004D058E" w:rsidRDefault="00AA4F1F">
            <w:pPr>
              <w:spacing w:after="20"/>
            </w:pPr>
            <w:r>
              <w:rPr>
                <w:sz w:val="16"/>
                <w:szCs w:val="16"/>
              </w:rPr>
              <w:t>R/A</w:t>
            </w:r>
          </w:p>
        </w:tc>
        <w:tc>
          <w:tcPr>
            <w:tcW w:w="1515"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05672874" w14:textId="77777777" w:rsidR="004D058E" w:rsidRDefault="00AA4F1F">
            <w:pPr>
              <w:spacing w:after="20"/>
            </w:pPr>
            <w:r>
              <w:rPr>
                <w:sz w:val="16"/>
                <w:szCs w:val="16"/>
              </w:rPr>
              <w:t>C</w:t>
            </w:r>
          </w:p>
        </w:tc>
        <w:tc>
          <w:tcPr>
            <w:tcW w:w="1754"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6187A7E1" w14:textId="77777777" w:rsidR="004D058E" w:rsidRDefault="00AA4F1F">
            <w:pPr>
              <w:spacing w:after="20"/>
            </w:pPr>
            <w:r>
              <w:rPr>
                <w:sz w:val="16"/>
                <w:szCs w:val="16"/>
              </w:rPr>
              <w:t>C</w:t>
            </w:r>
          </w:p>
        </w:tc>
        <w:tc>
          <w:tcPr>
            <w:tcW w:w="1677"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2C40565B" w14:textId="77777777" w:rsidR="004D058E" w:rsidRDefault="00AA4F1F">
            <w:pPr>
              <w:spacing w:after="20"/>
            </w:pPr>
            <w:r>
              <w:rPr>
                <w:sz w:val="16"/>
                <w:szCs w:val="16"/>
              </w:rPr>
              <w:t>C</w:t>
            </w:r>
          </w:p>
        </w:tc>
      </w:tr>
    </w:tbl>
    <w:p w14:paraId="4607AB77" w14:textId="77777777" w:rsidR="004D058E" w:rsidRDefault="00AA4F1F">
      <w:pPr>
        <w:pStyle w:val="Ttulo2"/>
      </w:pPr>
      <w:bookmarkStart w:id="13" w:name="_Toc244016982"/>
      <w:r>
        <w:t>8.3 Conclusiones</w:t>
      </w:r>
      <w:bookmarkEnd w:id="13"/>
    </w:p>
    <w:p w14:paraId="2F49D03E" w14:textId="77777777" w:rsidR="004D058E" w:rsidRDefault="00AA4F1F">
      <w:pPr>
        <w:spacing w:after="120" w:line="276" w:lineRule="auto"/>
        <w:jc w:val="both"/>
      </w:pPr>
      <w:r>
        <w:t>La PoC demuestra, con evidencia reproducida, que el diseño es técnicamente compatible: el cómputo por ventana es de milisegundos, el aislamiento batch/online está verificado por pruebas y la precisión causal cumple el KPI en datos de efect</w:t>
      </w:r>
      <w:r>
        <w:t xml:space="preserve">o conocido. Falta demostrar la escala de 1.500 llamadas, cualquier resultado en Azure y la precisión con datos reales. Económicamente el proyecto es rentable en el caso base y su riesgo principal es comercial. Dictamen: </w:t>
      </w:r>
      <w:r>
        <w:rPr>
          <w:b/>
          <w:bCs/>
        </w:rPr>
        <w:t>GO condicionado</w:t>
      </w:r>
      <w:r>
        <w:t>; financiar la integr</w:t>
      </w:r>
      <w:r>
        <w:t>ación (£64,533) y el piloto, y aprobar la producción solo si se cumplen las cuatro compuertas.</w:t>
      </w:r>
    </w:p>
    <w:p w14:paraId="3DC6B676" w14:textId="77777777" w:rsidR="004D058E" w:rsidRDefault="00AA4F1F">
      <w:pPr>
        <w:pStyle w:val="Ttulo2"/>
      </w:pPr>
      <w:bookmarkStart w:id="14" w:name="_Toc244016983"/>
      <w:r>
        <w:t>8.4 Fuentes</w:t>
      </w:r>
      <w:bookmarkEnd w:id="14"/>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4"/>
        <w:gridCol w:w="4308"/>
      </w:tblGrid>
      <w:tr w:rsidR="004D058E" w14:paraId="28F72F19" w14:textId="77777777">
        <w:trPr>
          <w:cantSplit/>
          <w:tblHeader/>
        </w:trPr>
        <w:tc>
          <w:tcPr>
            <w:tcW w:w="5104"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0B52A1D7" w14:textId="77777777" w:rsidR="004D058E" w:rsidRDefault="00AA4F1F">
            <w:pPr>
              <w:spacing w:after="20"/>
            </w:pPr>
            <w:r>
              <w:rPr>
                <w:b/>
                <w:bCs/>
                <w:color w:val="FFFFFF"/>
                <w:sz w:val="16"/>
                <w:szCs w:val="16"/>
              </w:rPr>
              <w:t>Fuente</w:t>
            </w:r>
          </w:p>
        </w:tc>
        <w:tc>
          <w:tcPr>
            <w:tcW w:w="4308" w:type="dxa"/>
            <w:tcBorders>
              <w:top w:val="single" w:sz="4" w:space="0" w:color="D7E0EA"/>
              <w:left w:val="single" w:sz="4" w:space="0" w:color="D7E0EA"/>
              <w:bottom w:val="single" w:sz="4" w:space="0" w:color="D7E0EA"/>
              <w:right w:val="single" w:sz="4" w:space="0" w:color="D7E0EA"/>
            </w:tcBorders>
            <w:shd w:val="clear" w:color="auto" w:fill="1B3A5F"/>
            <w:tcMar>
              <w:top w:w="60" w:type="dxa"/>
              <w:left w:w="90" w:type="dxa"/>
              <w:bottom w:w="60" w:type="dxa"/>
              <w:right w:w="90" w:type="dxa"/>
            </w:tcMar>
            <w:vAlign w:val="center"/>
          </w:tcPr>
          <w:p w14:paraId="7C1767D4" w14:textId="77777777" w:rsidR="004D058E" w:rsidRDefault="00AA4F1F">
            <w:pPr>
              <w:spacing w:after="20"/>
            </w:pPr>
            <w:r>
              <w:rPr>
                <w:b/>
                <w:bCs/>
                <w:color w:val="FFFFFF"/>
                <w:sz w:val="16"/>
                <w:szCs w:val="16"/>
              </w:rPr>
              <w:t>Uso</w:t>
            </w:r>
          </w:p>
        </w:tc>
      </w:tr>
      <w:tr w:rsidR="004D058E" w14:paraId="6D5C39A6" w14:textId="77777777">
        <w:trPr>
          <w:cantSplit/>
        </w:trPr>
        <w:tc>
          <w:tcPr>
            <w:tcW w:w="5104"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2DD687F5" w14:textId="77777777" w:rsidR="004D058E" w:rsidRDefault="00AA4F1F">
            <w:pPr>
              <w:spacing w:after="20"/>
            </w:pPr>
            <w:r>
              <w:rPr>
                <w:sz w:val="16"/>
                <w:szCs w:val="16"/>
              </w:rPr>
              <w:t>Enunciado oficial GPI 2026-II (22-10-2026)</w:t>
            </w:r>
          </w:p>
        </w:tc>
        <w:tc>
          <w:tcPr>
            <w:tcW w:w="4308"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1A2A8C7C" w14:textId="77777777" w:rsidR="004D058E" w:rsidRDefault="00AA4F1F">
            <w:pPr>
              <w:spacing w:after="20"/>
            </w:pPr>
            <w:r>
              <w:rPr>
                <w:sz w:val="16"/>
                <w:szCs w:val="16"/>
              </w:rPr>
              <w:t>KPI, CAPEX en HH, TTR, recargo y restricciones R1/R2</w:t>
            </w:r>
          </w:p>
        </w:tc>
      </w:tr>
      <w:tr w:rsidR="004D058E" w14:paraId="7A04FB65" w14:textId="77777777">
        <w:trPr>
          <w:cantSplit/>
        </w:trPr>
        <w:tc>
          <w:tcPr>
            <w:tcW w:w="5104"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061C95E3" w14:textId="77777777" w:rsidR="004D058E" w:rsidRDefault="00AA4F1F">
            <w:pPr>
              <w:spacing w:after="20"/>
            </w:pPr>
            <w:r>
              <w:rPr>
                <w:sz w:val="16"/>
                <w:szCs w:val="16"/>
              </w:rPr>
              <w:t>PoC del equipo (poc/vox-causal, 114 pruebas), EVIDENCIA.md y TRAZABILIDAD.md</w:t>
            </w:r>
          </w:p>
        </w:tc>
        <w:tc>
          <w:tcPr>
            <w:tcW w:w="4308"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11AECD41" w14:textId="77777777" w:rsidR="004D058E" w:rsidRDefault="00AA4F1F">
            <w:pPr>
              <w:spacing w:after="20"/>
            </w:pPr>
            <w:r>
              <w:rPr>
                <w:sz w:val="16"/>
                <w:szCs w:val="16"/>
              </w:rPr>
              <w:t>Arquitectura, pruebas, mediciones documentadas y línea base EVM</w:t>
            </w:r>
          </w:p>
        </w:tc>
      </w:tr>
      <w:tr w:rsidR="004D058E" w14:paraId="0DFC04C3" w14:textId="77777777">
        <w:trPr>
          <w:cantSplit/>
        </w:trPr>
        <w:tc>
          <w:tcPr>
            <w:tcW w:w="5104"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2C2D4828" w14:textId="77777777" w:rsidR="004D058E" w:rsidRDefault="00AA4F1F">
            <w:pPr>
              <w:spacing w:after="20"/>
            </w:pPr>
            <w:r>
              <w:rPr>
                <w:sz w:val="16"/>
                <w:szCs w:val="16"/>
              </w:rPr>
              <w:t>Azure Retail Prices API (prices.azure.com, UK South, 27-10-2026)</w:t>
            </w:r>
          </w:p>
        </w:tc>
        <w:tc>
          <w:tcPr>
            <w:tcW w:w="4308"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6035E0C0" w14:textId="77777777" w:rsidR="004D058E" w:rsidRDefault="00AA4F1F">
            <w:pPr>
              <w:spacing w:after="20"/>
            </w:pPr>
            <w:r>
              <w:rPr>
                <w:sz w:val="16"/>
                <w:szCs w:val="16"/>
              </w:rPr>
              <w:t>Precios de Azure</w:t>
            </w:r>
          </w:p>
        </w:tc>
      </w:tr>
      <w:tr w:rsidR="004D058E" w14:paraId="1CCDCF8B" w14:textId="77777777">
        <w:trPr>
          <w:cantSplit/>
        </w:trPr>
        <w:tc>
          <w:tcPr>
            <w:tcW w:w="5104"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184F6C9B" w14:textId="77777777" w:rsidR="004D058E" w:rsidRDefault="00AA4F1F">
            <w:pPr>
              <w:spacing w:after="20"/>
            </w:pPr>
            <w:r>
              <w:rPr>
                <w:sz w:val="16"/>
                <w:szCs w:val="16"/>
              </w:rPr>
              <w:t>itjobswatch.co.uk (MLOps UK); CCMA Benchmark y Salary Guide 2025</w:t>
            </w:r>
          </w:p>
        </w:tc>
        <w:tc>
          <w:tcPr>
            <w:tcW w:w="4308" w:type="dxa"/>
            <w:tcBorders>
              <w:top w:val="single" w:sz="4" w:space="0" w:color="D7E0EA"/>
              <w:left w:val="single" w:sz="4" w:space="0" w:color="D7E0EA"/>
              <w:bottom w:val="single" w:sz="4" w:space="0" w:color="D7E0EA"/>
              <w:right w:val="single" w:sz="4" w:space="0" w:color="D7E0EA"/>
            </w:tcBorders>
            <w:shd w:val="clear" w:color="auto" w:fill="F4F7FB"/>
            <w:tcMar>
              <w:top w:w="60" w:type="dxa"/>
              <w:left w:w="90" w:type="dxa"/>
              <w:bottom w:w="60" w:type="dxa"/>
              <w:right w:w="90" w:type="dxa"/>
            </w:tcMar>
          </w:tcPr>
          <w:p w14:paraId="3A063FE4" w14:textId="77777777" w:rsidR="004D058E" w:rsidRDefault="00AA4F1F">
            <w:pPr>
              <w:spacing w:after="20"/>
            </w:pPr>
            <w:r>
              <w:rPr>
                <w:sz w:val="16"/>
                <w:szCs w:val="16"/>
              </w:rPr>
              <w:t>Tarifa de ingeniería; AHT y salario de agentes</w:t>
            </w:r>
          </w:p>
        </w:tc>
      </w:tr>
      <w:tr w:rsidR="004D058E" w14:paraId="132478A7" w14:textId="77777777">
        <w:trPr>
          <w:cantSplit/>
        </w:trPr>
        <w:tc>
          <w:tcPr>
            <w:tcW w:w="5104"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1E9FC670" w14:textId="77777777" w:rsidR="004D058E" w:rsidRDefault="00AA4F1F">
            <w:pPr>
              <w:spacing w:after="20"/>
            </w:pPr>
            <w:r>
              <w:rPr>
                <w:sz w:val="16"/>
                <w:szCs w:val="16"/>
              </w:rPr>
              <w:t>Damodaran, waccEurope (enero 2026)</w:t>
            </w:r>
          </w:p>
        </w:tc>
        <w:tc>
          <w:tcPr>
            <w:tcW w:w="4308" w:type="dxa"/>
            <w:tcBorders>
              <w:top w:val="single" w:sz="4" w:space="0" w:color="D7E0EA"/>
              <w:left w:val="single" w:sz="4" w:space="0" w:color="D7E0EA"/>
              <w:bottom w:val="single" w:sz="4" w:space="0" w:color="D7E0EA"/>
              <w:right w:val="single" w:sz="4" w:space="0" w:color="D7E0EA"/>
            </w:tcBorders>
            <w:shd w:val="clear" w:color="auto" w:fill="FFFFFF"/>
            <w:tcMar>
              <w:top w:w="60" w:type="dxa"/>
              <w:left w:w="90" w:type="dxa"/>
              <w:bottom w:w="60" w:type="dxa"/>
              <w:right w:w="90" w:type="dxa"/>
            </w:tcMar>
          </w:tcPr>
          <w:p w14:paraId="728C8057" w14:textId="77777777" w:rsidR="004D058E" w:rsidRDefault="00AA4F1F">
            <w:pPr>
              <w:spacing w:after="20"/>
            </w:pPr>
            <w:r>
              <w:rPr>
                <w:sz w:val="16"/>
                <w:szCs w:val="16"/>
              </w:rPr>
              <w:t>Costo de capital de referencia</w:t>
            </w:r>
          </w:p>
        </w:tc>
      </w:tr>
    </w:tbl>
    <w:p w14:paraId="793559A2" w14:textId="77777777" w:rsidR="00000000" w:rsidRDefault="00AA4F1F"/>
    <w:sectPr w:rsidR="00000000">
      <w:headerReference w:type="default" r:id="rId16"/>
      <w:footerReference w:type="default" r:id="rId17"/>
      <w:pgSz w:w="11906" w:h="16838"/>
      <w:pgMar w:top="1134" w:right="1247" w:bottom="1134" w:left="1247"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C67984" w14:textId="77777777" w:rsidR="00000000" w:rsidRDefault="00AA4F1F">
      <w:r>
        <w:separator/>
      </w:r>
    </w:p>
  </w:endnote>
  <w:endnote w:type="continuationSeparator" w:id="0">
    <w:p w14:paraId="75F9D642" w14:textId="77777777" w:rsidR="00000000" w:rsidRDefault="00AA4F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0729B" w14:textId="77777777" w:rsidR="004D058E" w:rsidRDefault="00AA4F1F">
    <w:pPr>
      <w:jc w:val="center"/>
    </w:pPr>
    <w:r>
      <w:rPr>
        <w:color w:val="5C7390"/>
        <w:sz w:val="16"/>
        <w:szCs w:val="16"/>
      </w:rPr>
      <w:t xml:space="preserve">Página </w:t>
    </w:r>
    <w:r>
      <w:rPr>
        <w:color w:val="5C7390"/>
        <w:sz w:val="16"/>
        <w:szCs w:val="16"/>
      </w:rPr>
      <w:fldChar w:fldCharType="begin"/>
    </w:r>
    <w:r>
      <w:rPr>
        <w:color w:val="5C7390"/>
        <w:sz w:val="16"/>
        <w:szCs w:val="16"/>
      </w:rPr>
      <w:instrText>PAGE</w:instrText>
    </w:r>
    <w:r>
      <w:rPr>
        <w:color w:val="5C7390"/>
        <w:sz w:val="16"/>
        <w:szCs w:val="16"/>
      </w:rPr>
      <w:fldChar w:fldCharType="separate"/>
    </w:r>
    <w:r>
      <w:rPr>
        <w:noProof/>
        <w:color w:val="5C7390"/>
        <w:sz w:val="16"/>
        <w:szCs w:val="16"/>
      </w:rPr>
      <w:t>2</w:t>
    </w:r>
    <w:r>
      <w:rPr>
        <w:color w:val="5C739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FCB151" w14:textId="77777777" w:rsidR="00000000" w:rsidRDefault="00AA4F1F">
      <w:r>
        <w:separator/>
      </w:r>
    </w:p>
  </w:footnote>
  <w:footnote w:type="continuationSeparator" w:id="0">
    <w:p w14:paraId="157E42F6" w14:textId="77777777" w:rsidR="00000000" w:rsidRDefault="00AA4F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01941" w14:textId="77777777" w:rsidR="004D058E" w:rsidRDefault="00AA4F1F">
    <w:pPr>
      <w:pBdr>
        <w:bottom w:val="single" w:sz="4" w:space="4" w:color="D7E0EA"/>
      </w:pBdr>
      <w:jc w:val="right"/>
    </w:pPr>
    <w:r>
      <w:rPr>
        <w:color w:val="5C7390"/>
        <w:sz w:val="16"/>
        <w:szCs w:val="16"/>
      </w:rPr>
      <w:t>Informe ERV · Vox-Causal AI en Alloxentric SpA · GPI 2026-II · Grupo N.º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2D5D0D"/>
    <w:multiLevelType w:val="hybridMultilevel"/>
    <w:tmpl w:val="264466A2"/>
    <w:lvl w:ilvl="0" w:tplc="C758191C" w:tentative="1">
      <w:start w:val="1"/>
      <w:numFmt w:val="decimal"/>
      <w:lvlText w:val="%1."/>
      <w:lvlJc w:val="left"/>
      <w:pPr>
        <w:ind w:left="540" w:hanging="300"/>
      </w:pPr>
    </w:lvl>
    <w:lvl w:ilvl="1" w:tplc="A0125562">
      <w:numFmt w:val="decimal"/>
      <w:lvlText w:val=""/>
      <w:lvlJc w:val="left"/>
    </w:lvl>
    <w:lvl w:ilvl="2" w:tplc="21182250">
      <w:numFmt w:val="decimal"/>
      <w:lvlText w:val=""/>
      <w:lvlJc w:val="left"/>
    </w:lvl>
    <w:lvl w:ilvl="3" w:tplc="B58AEEE8">
      <w:numFmt w:val="decimal"/>
      <w:lvlText w:val=""/>
      <w:lvlJc w:val="left"/>
    </w:lvl>
    <w:lvl w:ilvl="4" w:tplc="DAC2F416">
      <w:numFmt w:val="decimal"/>
      <w:lvlText w:val=""/>
      <w:lvlJc w:val="left"/>
    </w:lvl>
    <w:lvl w:ilvl="5" w:tplc="B43A98B2">
      <w:numFmt w:val="decimal"/>
      <w:lvlText w:val=""/>
      <w:lvlJc w:val="left"/>
    </w:lvl>
    <w:lvl w:ilvl="6" w:tplc="81483D8C">
      <w:numFmt w:val="decimal"/>
      <w:lvlText w:val=""/>
      <w:lvlJc w:val="left"/>
    </w:lvl>
    <w:lvl w:ilvl="7" w:tplc="85024710">
      <w:numFmt w:val="decimal"/>
      <w:lvlText w:val=""/>
      <w:lvlJc w:val="left"/>
    </w:lvl>
    <w:lvl w:ilvl="8" w:tplc="C00076D0">
      <w:numFmt w:val="decimal"/>
      <w:lvlText w:val=""/>
      <w:lvlJc w:val="left"/>
    </w:lvl>
  </w:abstractNum>
  <w:abstractNum w:abstractNumId="1" w15:restartNumberingAfterBreak="0">
    <w:nsid w:val="414D74E2"/>
    <w:multiLevelType w:val="hybridMultilevel"/>
    <w:tmpl w:val="CC4ADBA6"/>
    <w:lvl w:ilvl="0" w:tplc="3232F264" w:tentative="1">
      <w:start w:val="1"/>
      <w:numFmt w:val="decimal"/>
      <w:lvlText w:val="%1."/>
      <w:lvlJc w:val="left"/>
      <w:pPr>
        <w:ind w:left="540" w:hanging="300"/>
      </w:pPr>
    </w:lvl>
    <w:lvl w:ilvl="1" w:tplc="AC26C12C">
      <w:numFmt w:val="decimal"/>
      <w:lvlText w:val=""/>
      <w:lvlJc w:val="left"/>
    </w:lvl>
    <w:lvl w:ilvl="2" w:tplc="6FD6F678">
      <w:numFmt w:val="decimal"/>
      <w:lvlText w:val=""/>
      <w:lvlJc w:val="left"/>
    </w:lvl>
    <w:lvl w:ilvl="3" w:tplc="07B2A2B8">
      <w:numFmt w:val="decimal"/>
      <w:lvlText w:val=""/>
      <w:lvlJc w:val="left"/>
    </w:lvl>
    <w:lvl w:ilvl="4" w:tplc="F050B5B8">
      <w:numFmt w:val="decimal"/>
      <w:lvlText w:val=""/>
      <w:lvlJc w:val="left"/>
    </w:lvl>
    <w:lvl w:ilvl="5" w:tplc="CB145882">
      <w:numFmt w:val="decimal"/>
      <w:lvlText w:val=""/>
      <w:lvlJc w:val="left"/>
    </w:lvl>
    <w:lvl w:ilvl="6" w:tplc="F50E9B16">
      <w:numFmt w:val="decimal"/>
      <w:lvlText w:val=""/>
      <w:lvlJc w:val="left"/>
    </w:lvl>
    <w:lvl w:ilvl="7" w:tplc="12B637B8">
      <w:numFmt w:val="decimal"/>
      <w:lvlText w:val=""/>
      <w:lvlJc w:val="left"/>
    </w:lvl>
    <w:lvl w:ilvl="8" w:tplc="DFEAA658">
      <w:numFmt w:val="decimal"/>
      <w:lvlText w:val=""/>
      <w:lvlJc w:val="left"/>
    </w:lvl>
  </w:abstractNum>
  <w:abstractNum w:abstractNumId="2" w15:restartNumberingAfterBreak="0">
    <w:nsid w:val="41DF5089"/>
    <w:multiLevelType w:val="hybridMultilevel"/>
    <w:tmpl w:val="DE004330"/>
    <w:lvl w:ilvl="0" w:tplc="0A1A02FC" w:tentative="1">
      <w:start w:val="1"/>
      <w:numFmt w:val="decimal"/>
      <w:lvlText w:val="%1."/>
      <w:lvlJc w:val="left"/>
      <w:pPr>
        <w:ind w:left="540" w:hanging="300"/>
      </w:pPr>
    </w:lvl>
    <w:lvl w:ilvl="1" w:tplc="C4D6D844">
      <w:numFmt w:val="decimal"/>
      <w:lvlText w:val=""/>
      <w:lvlJc w:val="left"/>
    </w:lvl>
    <w:lvl w:ilvl="2" w:tplc="32BCBBF4">
      <w:numFmt w:val="decimal"/>
      <w:lvlText w:val=""/>
      <w:lvlJc w:val="left"/>
    </w:lvl>
    <w:lvl w:ilvl="3" w:tplc="2CAE5C9E">
      <w:numFmt w:val="decimal"/>
      <w:lvlText w:val=""/>
      <w:lvlJc w:val="left"/>
    </w:lvl>
    <w:lvl w:ilvl="4" w:tplc="823240FE">
      <w:numFmt w:val="decimal"/>
      <w:lvlText w:val=""/>
      <w:lvlJc w:val="left"/>
    </w:lvl>
    <w:lvl w:ilvl="5" w:tplc="B7B88BEE">
      <w:numFmt w:val="decimal"/>
      <w:lvlText w:val=""/>
      <w:lvlJc w:val="left"/>
    </w:lvl>
    <w:lvl w:ilvl="6" w:tplc="BE14819E">
      <w:numFmt w:val="decimal"/>
      <w:lvlText w:val=""/>
      <w:lvlJc w:val="left"/>
    </w:lvl>
    <w:lvl w:ilvl="7" w:tplc="2578D7BE">
      <w:numFmt w:val="decimal"/>
      <w:lvlText w:val=""/>
      <w:lvlJc w:val="left"/>
    </w:lvl>
    <w:lvl w:ilvl="8" w:tplc="52C02822">
      <w:numFmt w:val="decimal"/>
      <w:lvlText w:val=""/>
      <w:lvlJc w:val="left"/>
    </w:lvl>
  </w:abstractNum>
  <w:abstractNum w:abstractNumId="3" w15:restartNumberingAfterBreak="0">
    <w:nsid w:val="52610D95"/>
    <w:multiLevelType w:val="hybridMultilevel"/>
    <w:tmpl w:val="8618EC7A"/>
    <w:lvl w:ilvl="0" w:tplc="A078A950" w:tentative="1">
      <w:start w:val="1"/>
      <w:numFmt w:val="decimal"/>
      <w:lvlText w:val="%1."/>
      <w:lvlJc w:val="left"/>
      <w:pPr>
        <w:ind w:left="540" w:hanging="300"/>
      </w:pPr>
    </w:lvl>
    <w:lvl w:ilvl="1" w:tplc="E9F03118">
      <w:numFmt w:val="decimal"/>
      <w:lvlText w:val=""/>
      <w:lvlJc w:val="left"/>
    </w:lvl>
    <w:lvl w:ilvl="2" w:tplc="CAC8D23C">
      <w:numFmt w:val="decimal"/>
      <w:lvlText w:val=""/>
      <w:lvlJc w:val="left"/>
    </w:lvl>
    <w:lvl w:ilvl="3" w:tplc="C5664E80">
      <w:numFmt w:val="decimal"/>
      <w:lvlText w:val=""/>
      <w:lvlJc w:val="left"/>
    </w:lvl>
    <w:lvl w:ilvl="4" w:tplc="D960E8F0">
      <w:numFmt w:val="decimal"/>
      <w:lvlText w:val=""/>
      <w:lvlJc w:val="left"/>
    </w:lvl>
    <w:lvl w:ilvl="5" w:tplc="E0C6BF0A">
      <w:numFmt w:val="decimal"/>
      <w:lvlText w:val=""/>
      <w:lvlJc w:val="left"/>
    </w:lvl>
    <w:lvl w:ilvl="6" w:tplc="9036D91E">
      <w:numFmt w:val="decimal"/>
      <w:lvlText w:val=""/>
      <w:lvlJc w:val="left"/>
    </w:lvl>
    <w:lvl w:ilvl="7" w:tplc="07105B3E">
      <w:numFmt w:val="decimal"/>
      <w:lvlText w:val=""/>
      <w:lvlJc w:val="left"/>
    </w:lvl>
    <w:lvl w:ilvl="8" w:tplc="B25E5EF0">
      <w:numFmt w:val="decimal"/>
      <w:lvlText w:val=""/>
      <w:lvlJc w:val="left"/>
    </w:lvl>
  </w:abstractNum>
  <w:abstractNum w:abstractNumId="4" w15:restartNumberingAfterBreak="0">
    <w:nsid w:val="547A1A22"/>
    <w:multiLevelType w:val="hybridMultilevel"/>
    <w:tmpl w:val="7D0475DC"/>
    <w:lvl w:ilvl="0" w:tplc="FCA4BDBE" w:tentative="1">
      <w:start w:val="1"/>
      <w:numFmt w:val="decimal"/>
      <w:lvlText w:val="%1."/>
      <w:lvlJc w:val="left"/>
      <w:pPr>
        <w:ind w:left="540" w:hanging="300"/>
      </w:pPr>
    </w:lvl>
    <w:lvl w:ilvl="1" w:tplc="A57CF4F4">
      <w:numFmt w:val="decimal"/>
      <w:lvlText w:val=""/>
      <w:lvlJc w:val="left"/>
    </w:lvl>
    <w:lvl w:ilvl="2" w:tplc="E0103FF0">
      <w:numFmt w:val="decimal"/>
      <w:lvlText w:val=""/>
      <w:lvlJc w:val="left"/>
    </w:lvl>
    <w:lvl w:ilvl="3" w:tplc="3B580732">
      <w:numFmt w:val="decimal"/>
      <w:lvlText w:val=""/>
      <w:lvlJc w:val="left"/>
    </w:lvl>
    <w:lvl w:ilvl="4" w:tplc="545EF8B0">
      <w:numFmt w:val="decimal"/>
      <w:lvlText w:val=""/>
      <w:lvlJc w:val="left"/>
    </w:lvl>
    <w:lvl w:ilvl="5" w:tplc="10FC03F8">
      <w:numFmt w:val="decimal"/>
      <w:lvlText w:val=""/>
      <w:lvlJc w:val="left"/>
    </w:lvl>
    <w:lvl w:ilvl="6" w:tplc="B622D73C">
      <w:numFmt w:val="decimal"/>
      <w:lvlText w:val=""/>
      <w:lvlJc w:val="left"/>
    </w:lvl>
    <w:lvl w:ilvl="7" w:tplc="991E7A42">
      <w:numFmt w:val="decimal"/>
      <w:lvlText w:val=""/>
      <w:lvlJc w:val="left"/>
    </w:lvl>
    <w:lvl w:ilvl="8" w:tplc="D17E59E8">
      <w:numFmt w:val="decimal"/>
      <w:lvlText w:val=""/>
      <w:lvlJc w:val="left"/>
    </w:lvl>
  </w:abstractNum>
  <w:abstractNum w:abstractNumId="5" w15:restartNumberingAfterBreak="0">
    <w:nsid w:val="55893D16"/>
    <w:multiLevelType w:val="hybridMultilevel"/>
    <w:tmpl w:val="590C7378"/>
    <w:lvl w:ilvl="0" w:tplc="457AE14C" w:tentative="1">
      <w:start w:val="1"/>
      <w:numFmt w:val="bullet"/>
      <w:lvlText w:val="●"/>
      <w:lvlJc w:val="left"/>
      <w:pPr>
        <w:ind w:left="720" w:hanging="360"/>
      </w:pPr>
    </w:lvl>
    <w:lvl w:ilvl="1" w:tplc="D848BCB2" w:tentative="1">
      <w:start w:val="1"/>
      <w:numFmt w:val="bullet"/>
      <w:lvlText w:val="○"/>
      <w:lvlJc w:val="left"/>
      <w:pPr>
        <w:ind w:left="1440" w:hanging="360"/>
      </w:pPr>
    </w:lvl>
    <w:lvl w:ilvl="2" w:tplc="8A265D68" w:tentative="1">
      <w:start w:val="1"/>
      <w:numFmt w:val="bullet"/>
      <w:lvlText w:val="■"/>
      <w:lvlJc w:val="left"/>
      <w:pPr>
        <w:ind w:left="2160" w:hanging="360"/>
      </w:pPr>
    </w:lvl>
    <w:lvl w:ilvl="3" w:tplc="BC8E48D6" w:tentative="1">
      <w:start w:val="1"/>
      <w:numFmt w:val="bullet"/>
      <w:lvlText w:val="●"/>
      <w:lvlJc w:val="left"/>
      <w:pPr>
        <w:ind w:left="2880" w:hanging="360"/>
      </w:pPr>
    </w:lvl>
    <w:lvl w:ilvl="4" w:tplc="A194310E" w:tentative="1">
      <w:start w:val="1"/>
      <w:numFmt w:val="bullet"/>
      <w:lvlText w:val="○"/>
      <w:lvlJc w:val="left"/>
      <w:pPr>
        <w:ind w:left="3600" w:hanging="360"/>
      </w:pPr>
    </w:lvl>
    <w:lvl w:ilvl="5" w:tplc="38CAE502" w:tentative="1">
      <w:start w:val="1"/>
      <w:numFmt w:val="bullet"/>
      <w:lvlText w:val="■"/>
      <w:lvlJc w:val="left"/>
      <w:pPr>
        <w:ind w:left="4320" w:hanging="360"/>
      </w:pPr>
    </w:lvl>
    <w:lvl w:ilvl="6" w:tplc="1B608E68" w:tentative="1">
      <w:start w:val="1"/>
      <w:numFmt w:val="bullet"/>
      <w:lvlText w:val="●"/>
      <w:lvlJc w:val="left"/>
      <w:pPr>
        <w:ind w:left="5040" w:hanging="360"/>
      </w:pPr>
    </w:lvl>
    <w:lvl w:ilvl="7" w:tplc="BA9CAADE" w:tentative="1">
      <w:start w:val="1"/>
      <w:numFmt w:val="bullet"/>
      <w:lvlText w:val="●"/>
      <w:lvlJc w:val="left"/>
      <w:pPr>
        <w:ind w:left="5760" w:hanging="360"/>
      </w:pPr>
    </w:lvl>
    <w:lvl w:ilvl="8" w:tplc="AAA4CE2C" w:tentative="1">
      <w:start w:val="1"/>
      <w:numFmt w:val="bullet"/>
      <w:lvlText w:val="●"/>
      <w:lvlJc w:val="left"/>
      <w:pPr>
        <w:ind w:left="6480" w:hanging="360"/>
      </w:pPr>
    </w:lvl>
  </w:abstractNum>
  <w:abstractNum w:abstractNumId="6" w15:restartNumberingAfterBreak="0">
    <w:nsid w:val="74401E52"/>
    <w:multiLevelType w:val="hybridMultilevel"/>
    <w:tmpl w:val="F23CAC3A"/>
    <w:lvl w:ilvl="0" w:tplc="D9A8A2CA">
      <w:start w:val="1"/>
      <w:numFmt w:val="bullet"/>
      <w:lvlText w:val="•"/>
      <w:lvlJc w:val="left"/>
      <w:pPr>
        <w:ind w:left="540" w:hanging="270"/>
      </w:pPr>
    </w:lvl>
    <w:lvl w:ilvl="1" w:tplc="B6CC46F8" w:tentative="1">
      <w:start w:val="1"/>
      <w:numFmt w:val="bullet"/>
      <w:lvlText w:val="–"/>
      <w:lvlJc w:val="left"/>
      <w:pPr>
        <w:ind w:left="1000" w:hanging="270"/>
      </w:pPr>
    </w:lvl>
    <w:lvl w:ilvl="2" w:tplc="EFD669CA">
      <w:numFmt w:val="decimal"/>
      <w:lvlText w:val=""/>
      <w:lvlJc w:val="left"/>
    </w:lvl>
    <w:lvl w:ilvl="3" w:tplc="C316A7DC">
      <w:numFmt w:val="decimal"/>
      <w:lvlText w:val=""/>
      <w:lvlJc w:val="left"/>
    </w:lvl>
    <w:lvl w:ilvl="4" w:tplc="1EA87DCE">
      <w:numFmt w:val="decimal"/>
      <w:lvlText w:val=""/>
      <w:lvlJc w:val="left"/>
    </w:lvl>
    <w:lvl w:ilvl="5" w:tplc="C1929852">
      <w:numFmt w:val="decimal"/>
      <w:lvlText w:val=""/>
      <w:lvlJc w:val="left"/>
    </w:lvl>
    <w:lvl w:ilvl="6" w:tplc="24A89238">
      <w:numFmt w:val="decimal"/>
      <w:lvlText w:val=""/>
      <w:lvlJc w:val="left"/>
    </w:lvl>
    <w:lvl w:ilvl="7" w:tplc="136EBCC4">
      <w:numFmt w:val="decimal"/>
      <w:lvlText w:val=""/>
      <w:lvlJc w:val="left"/>
    </w:lvl>
    <w:lvl w:ilvl="8" w:tplc="203AAF5A">
      <w:numFmt w:val="decimal"/>
      <w:lvlText w:val=""/>
      <w:lvlJc w:val="left"/>
    </w:lvl>
  </w:abstractNum>
  <w:abstractNum w:abstractNumId="7" w15:restartNumberingAfterBreak="0">
    <w:nsid w:val="75D53306"/>
    <w:multiLevelType w:val="hybridMultilevel"/>
    <w:tmpl w:val="346EAEBA"/>
    <w:lvl w:ilvl="0" w:tplc="9E2EC6F8" w:tentative="1">
      <w:start w:val="1"/>
      <w:numFmt w:val="decimal"/>
      <w:lvlText w:val="%1."/>
      <w:lvlJc w:val="left"/>
      <w:pPr>
        <w:ind w:left="540" w:hanging="300"/>
      </w:pPr>
    </w:lvl>
    <w:lvl w:ilvl="1" w:tplc="9E98C28A">
      <w:numFmt w:val="decimal"/>
      <w:lvlText w:val=""/>
      <w:lvlJc w:val="left"/>
    </w:lvl>
    <w:lvl w:ilvl="2" w:tplc="BE5A36F8">
      <w:numFmt w:val="decimal"/>
      <w:lvlText w:val=""/>
      <w:lvlJc w:val="left"/>
    </w:lvl>
    <w:lvl w:ilvl="3" w:tplc="2C8A363A">
      <w:numFmt w:val="decimal"/>
      <w:lvlText w:val=""/>
      <w:lvlJc w:val="left"/>
    </w:lvl>
    <w:lvl w:ilvl="4" w:tplc="B1381E6A">
      <w:numFmt w:val="decimal"/>
      <w:lvlText w:val=""/>
      <w:lvlJc w:val="left"/>
    </w:lvl>
    <w:lvl w:ilvl="5" w:tplc="2242A0CA">
      <w:numFmt w:val="decimal"/>
      <w:lvlText w:val=""/>
      <w:lvlJc w:val="left"/>
    </w:lvl>
    <w:lvl w:ilvl="6" w:tplc="DFC8BE28">
      <w:numFmt w:val="decimal"/>
      <w:lvlText w:val=""/>
      <w:lvlJc w:val="left"/>
    </w:lvl>
    <w:lvl w:ilvl="7" w:tplc="B1CC8416">
      <w:numFmt w:val="decimal"/>
      <w:lvlText w:val=""/>
      <w:lvlJc w:val="left"/>
    </w:lvl>
    <w:lvl w:ilvl="8" w:tplc="C3BA6C78">
      <w:numFmt w:val="decimal"/>
      <w:lvlText w:val=""/>
      <w:lvlJc w:val="left"/>
    </w:lvl>
  </w:abstractNum>
  <w:num w:numId="1">
    <w:abstractNumId w:val="5"/>
    <w:lvlOverride w:ilvl="0">
      <w:startOverride w:val="1"/>
    </w:lvlOverride>
  </w:num>
  <w:num w:numId="2">
    <w:abstractNumId w:val="6"/>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58E"/>
    <w:rsid w:val="004D058E"/>
    <w:rsid w:val="00AA4F1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57E92"/>
  <w15:docId w15:val="{BBAEBF46-393E-4724-9D24-7C901BB0D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Bdr>
        <w:bottom w:val="single" w:sz="12" w:space="4" w:color="C9359F"/>
      </w:pBdr>
      <w:spacing w:before="240" w:after="160"/>
      <w:outlineLvl w:val="0"/>
    </w:pPr>
    <w:rPr>
      <w:b/>
      <w:bCs/>
      <w:color w:val="1B3A5F"/>
      <w:sz w:val="32"/>
      <w:szCs w:val="32"/>
    </w:rPr>
  </w:style>
  <w:style w:type="paragraph" w:styleId="Ttulo2">
    <w:name w:val="heading 2"/>
    <w:basedOn w:val="Normal"/>
    <w:next w:val="Normal"/>
    <w:uiPriority w:val="9"/>
    <w:unhideWhenUsed/>
    <w:qFormat/>
    <w:pPr>
      <w:keepNext/>
      <w:spacing w:before="280" w:after="120"/>
      <w:outlineLvl w:val="1"/>
    </w:pPr>
    <w:rPr>
      <w:b/>
      <w:bCs/>
      <w:color w:val="1B3A5F"/>
      <w:sz w:val="27"/>
      <w:szCs w:val="27"/>
    </w:rPr>
  </w:style>
  <w:style w:type="paragraph" w:styleId="Ttulo3">
    <w:name w:val="heading 3"/>
    <w:basedOn w:val="Normal"/>
    <w:next w:val="Normal"/>
    <w:uiPriority w:val="9"/>
    <w:semiHidden/>
    <w:unhideWhenUsed/>
    <w:qFormat/>
    <w:pPr>
      <w:keepNext/>
      <w:spacing w:before="200" w:after="80"/>
      <w:outlineLvl w:val="2"/>
    </w:pPr>
    <w:rPr>
      <w:b/>
      <w:bCs/>
      <w:color w:val="2F5D88"/>
      <w:sz w:val="23"/>
      <w:szCs w:val="23"/>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paragraph" w:styleId="Descripcin">
    <w:name w:val="caption"/>
    <w:basedOn w:val="Normal"/>
    <w:next w:val="Normal"/>
    <w:uiPriority w:val="35"/>
    <w:semiHidden/>
    <w:unhideWhenUsed/>
    <w:qFormat/>
    <w:pPr>
      <w:spacing w:after="200"/>
    </w:pPr>
    <w:rPr>
      <w:i/>
      <w:iCs/>
      <w:color w:val="44546A" w:themeColor="dark2"/>
      <w:sz w:val="18"/>
      <w:szCs w:val="18"/>
    </w:rPr>
  </w:style>
  <w:style w:type="paragraph" w:styleId="Bibliografa">
    <w:name w:val="Bibliography"/>
    <w:basedOn w:val="Normal"/>
    <w:next w:val="Normal"/>
    <w:uiPriority w:val="37"/>
    <w:unhideWhenUsed/>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semiHidden/>
    <w:unhideWhenUsed/>
    <w:pPr>
      <w:spacing w:after="100"/>
      <w:ind w:left="440"/>
    </w:pPr>
  </w:style>
  <w:style w:type="paragraph" w:styleId="TDC4">
    <w:name w:val="toc 4"/>
    <w:basedOn w:val="Normal"/>
    <w:next w:val="Normal"/>
    <w:uiPriority w:val="39"/>
    <w:semiHidden/>
    <w:unhideWhenUsed/>
    <w:pPr>
      <w:spacing w:after="100"/>
      <w:ind w:left="660"/>
    </w:pPr>
  </w:style>
  <w:style w:type="paragraph" w:styleId="TDC5">
    <w:name w:val="toc 5"/>
    <w:basedOn w:val="Normal"/>
    <w:next w:val="Normal"/>
    <w:uiPriority w:val="39"/>
    <w:semiHidden/>
    <w:unhideWhenUsed/>
    <w:pPr>
      <w:spacing w:after="100"/>
      <w:ind w:left="880"/>
    </w:pPr>
  </w:style>
  <w:style w:type="paragraph" w:styleId="TDC6">
    <w:name w:val="toc 6"/>
    <w:basedOn w:val="Normal"/>
    <w:next w:val="Normal"/>
    <w:uiPriority w:val="39"/>
    <w:semiHidden/>
    <w:unhideWhenUsed/>
    <w:pPr>
      <w:spacing w:after="100"/>
      <w:ind w:left="1100"/>
    </w:pPr>
  </w:style>
  <w:style w:type="paragraph" w:styleId="TDC7">
    <w:name w:val="toc 7"/>
    <w:basedOn w:val="Normal"/>
    <w:next w:val="Normal"/>
    <w:uiPriority w:val="39"/>
    <w:semiHidden/>
    <w:unhideWhenUsed/>
    <w:pPr>
      <w:spacing w:after="100"/>
      <w:ind w:left="1320"/>
    </w:pPr>
  </w:style>
  <w:style w:type="paragraph" w:styleId="TDC8">
    <w:name w:val="toc 8"/>
    <w:basedOn w:val="Normal"/>
    <w:next w:val="Normal"/>
    <w:uiPriority w:val="39"/>
    <w:semiHidden/>
    <w:unhideWhenUsed/>
    <w:pPr>
      <w:spacing w:after="100"/>
      <w:ind w:left="1540"/>
    </w:pPr>
  </w:style>
  <w:style w:type="paragraph" w:styleId="TDC9">
    <w:name w:val="toc 9"/>
    <w:basedOn w:val="Normal"/>
    <w:next w:val="Normal"/>
    <w:uiPriority w:val="39"/>
    <w:semiHidden/>
    <w:unhideWhenUsed/>
    <w:pPr>
      <w:spacing w:after="100"/>
      <w:ind w:left="1760"/>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Nmerodelnea">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3112</Words>
  <Characters>17121</Characters>
  <Application>Microsoft Office Word</Application>
  <DocSecurity>0</DocSecurity>
  <Lines>142</Lines>
  <Paragraphs>40</Paragraphs>
  <ScaleCrop>false</ScaleCrop>
  <Company/>
  <LinksUpToDate>false</LinksUpToDate>
  <CharactersWithSpaces>20193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ERV — Vox-Causal AI en Alloxentric SpA</dc:title>
  <dc:creator>Grupo N.º 1 — Sección 411</dc:creator>
  <cp:lastModifiedBy>NACHO MAN</cp:lastModifiedBy>
  <cp:revision>2</cp:revision>
  <dcterms:created xsi:type="dcterms:W3CDTF">2026-10-27T21:08:00Z</dcterms:created>
  <dcterms:modified xsi:type="dcterms:W3CDTF">2026-10-27T21:08:00Z</dcterms:modified>
</cp:coreProperties>
</file>