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25"/>
        <w:gridCol w:w="1756"/>
      </w:tblGrid>
      <w:tr>
        <w:trPr>
          <w:trHeight w:val="571" w:hRule="auto"/>
          <w:tblHeader/>
        </w:trPr>
        <w:tc>
          <w:tcPr>
            <w:gridSpan w:val="2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Naive locality averages versus XGBoost</w:t>
            </w:r>
          </w:p>
        </w:tc>
      </w:tr>
      <w:tr>
        <w:trPr>
          <w:trHeight w:val="571" w:hRule="auto"/>
          <w:tblHeader/>
        </w:trPr>
        <w:tc>
          <w:tcPr>
            <w:gridSpan w:val="2"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32"/>
                <w:szCs w:val="3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32"/>
                <w:szCs w:val="32"/>
                <w:color w:val="000000"/>
              </w:rPr>
              <w:t xml:space="preserve">Benchmark Model Comparison</w:t>
            </w:r>
          </w:p>
        </w:tc>
      </w:tr>
      <w:tr>
        <w:trPr>
          <w:trHeight w:val="571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MAE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Naive locality mean</w:t>
            </w:r>
          </w:p>
        </w:tc>
        <w:tc>
          <w:tcPr>
            <w:tcBorders>
              <w:bottom w:val="single" w:sz="4" w:space="0" w:color="D9D9D9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$242,664,998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XGBoost Random CV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$76,455,311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XGBoost Spatial CV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$73,737,845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XGBoost UPZ CV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$75,798,798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XGBoost Northeast Holdout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$82,258,636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2026-05-22T21:00:16Z</dcterms:modified>
  <cp:category/>
</cp:coreProperties>
</file>