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1083"/>
        <w:gridCol w:w="1756"/>
        <w:gridCol w:w="1830"/>
      </w:tblGrid>
      <w:tr>
        <w:trPr>
          <w:trHeight w:val="574" w:hRule="auto"/>
          <w:tblHeader/>
        </w:trPr>
        <w:tc>
          <w:tcPr>
            <w:gridSpan w:val="4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4" w:hRule="auto"/>
          <w:tblHeader/>
        </w:trPr>
        <w:tc>
          <w:tcPr>
            <w:gridSpan w:val="4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Sesgo de predicción por estrato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CV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estrato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Bias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$224,077,056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-$224,077,056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$84,990,032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-$1,510,810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$84,108,088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$760,640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$81,037,362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-$3,194,723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$78,223,484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$469,236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$55,838,672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$395,323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$337,694,256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-$337,694,256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$121,698,801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$6,072,100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$95,970,556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-$5,028,322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$90,781,534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-$51,603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$84,247,449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$1,991,656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$61,661,912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-$635,127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$88,670,863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-$4,414,192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$82,879,510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-$1,821,260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$82,204,388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$2,923,583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$72,330,542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-$7,813,416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$57,648,551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-$440,628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$88,149,812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-$4,199,734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$82,283,291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$4,809,005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$80,857,423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-$221,982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$71,695,632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-$8,437,984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$57,256,926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$159,490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2026-05-22T20:59:50Z</dcterms:modified>
  <cp:category/>
</cp:coreProperties>
</file>