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25"/>
        <w:gridCol w:w="2330"/>
        <w:gridCol w:w="1756"/>
        <w:gridCol w:w="1830"/>
      </w:tblGrid>
      <w:tr>
        <w:trPr>
          <w:trHeight w:val="574" w:hRule="auto"/>
          <w:tblHeader/>
        </w:trPr>
        <w:tc>
          <w:tcPr>
            <w:gridSpan w:val="4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Top 4 localidades por MAE</w:t>
            </w:r>
          </w:p>
        </w:tc>
      </w:tr>
      <w:tr>
        <w:trPr>
          <w:trHeight w:val="574" w:hRule="auto"/>
          <w:tblHeader/>
        </w:trPr>
        <w:tc>
          <w:tcPr>
            <w:gridSpan w:val="4"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32"/>
                <w:szCs w:val="3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32"/>
                <w:szCs w:val="32"/>
                <w:color w:val="000000"/>
              </w:rPr>
              <w:t xml:space="preserve">Localidades con mayor MAE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CV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localidad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Bias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Localidad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CANDELARIA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$111,484,693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-$6,421,789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Localidad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BARRIOS UNIDOS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$99,493,872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$2,351,891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Localidad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CHAPINERO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$96,365,042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-$16,193,273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Localidad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LOS MARTIRES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$93,104,462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$12,860,244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NorEste Holdout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CHAPINERO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$184,334,533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-$109,271,503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NorEste Holdout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CANDELARIA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$153,837,251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-$72,724,483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NorEste Holdout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BOSA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$131,094,839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$112,548,971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NorEste Holdout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ANTONIO NARIÑO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$129,626,012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-$17,674,496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BARRIOS UNIDOS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$123,377,237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-$275,024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CHAPINERO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$103,867,424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-$632,971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LOS MARTIRES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$86,075,415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$4,718,482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CIUDAD BOLIVAR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$83,917,844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-$33,949,495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UPZ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BARRIOS UNIDOS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$122,568,873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$5,321,276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UPZ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CHAPINERO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$111,530,613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-$15,550,603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UPZ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LOS MARTIRES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$87,315,332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$2,767,683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UPZ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CANDELARIA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$85,371,115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$43,049,136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2026-05-22T20:59:59Z</dcterms:modified>
  <cp:category/>
</cp:coreProperties>
</file>