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3"/>
        <w:gridCol w:w="1817"/>
        <w:gridCol w:w="1902"/>
      </w:tblGrid>
      <w:tr>
        <w:trPr>
          <w:trHeight w:val="612" w:hRule="auto"/>
          <w:tblHeader/>
        </w:trPr>
        <w:tc>
          <w:tcPr>
            <w:gridSpan w:val="3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Localidades con mayor concentración de errores catastróficos</w:t>
            </w:r>
          </w:p>
        </w:tc>
      </w:tr>
      <w:tr>
        <w:trPr>
          <w:trHeight w:val="612" w:hRule="auto"/>
          <w:tblHeader/>
        </w:trPr>
        <w:tc>
          <w:tcPr>
            <w:gridSpan w:val="3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32"/>
                <w:szCs w:val="32"/>
                <w:color w:val="000000"/>
              </w:rPr>
              <w:t xml:space="preserve">Concentración de Error Catastrófico</w:t>
            </w:r>
          </w:p>
        </w:tc>
      </w:tr>
      <w:tr>
        <w:trPr>
          <w:trHeight w:val="612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localidad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N catastrophic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Mean abs error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USAQUEN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$814,937,782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$841,799,729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BARRIOS UNIDOS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$808,563,201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FONTIBON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$869,627,453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SANTA FE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$866,565,230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TEUSAQUILLO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$861,860,727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ENGATIVA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$804,613,856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CANDELARIA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$838,525,696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KENNEDY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$981,918,776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NARIÑO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$767,033,184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CHAPINERO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$759,863,296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 MARTIRES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$732,012,928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PUENTE ARANDA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$914,867,712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RAFAEL URIBE URIBE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$843,253,696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2026-05-22T21:00:04Z</dcterms:modified>
  <cp:category/>
</cp:coreProperties>
</file>