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72"/>
        <w:gridCol w:w="1585"/>
        <w:gridCol w:w="2098"/>
        <w:gridCol w:w="2221"/>
      </w:tblGrid>
      <w:tr>
        <w:trPr>
          <w:trHeight w:val="615" w:hRule="auto"/>
          <w:tblHeader/>
        </w:trPr>
        <w:tc>
          <w:tcPr>
            <w:gridSpan w:val="4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32"/>
                <w:szCs w:val="3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32"/>
                <w:szCs w:val="32"/>
                <w:color w:val="000000"/>
              </w:rPr>
              <w:t xml:space="preserve">Perfil de riesgo de predicción</w:t>
            </w:r>
          </w:p>
        </w:tc>
      </w:tr>
      <w:tr>
        <w:trPr>
          <w:trHeight w:val="615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CV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Bias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Overprediction %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Underprediction %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CV</w:t>
            </w:r>
          </w:p>
        </w:tc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-$1,390,248</w:t>
            </w:r>
          </w:p>
        </w:tc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Stratified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-$931,925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Locality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-$91,113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UPZ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-$499,233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 Holdout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-$302,848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2026-05-22T20:58:30Z</dcterms:modified>
  <cp:category/>
</cp:coreProperties>
</file>