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634"/>
        <w:gridCol w:w="2257"/>
      </w:tblGrid>
      <w:tr>
        <w:trPr>
          <w:trHeight w:val="615" w:hRule="auto"/>
          <w:tblHeader/>
        </w:trPr>
        <w:tc>
          <w:tcPr>
            <w:gridSpan w:val="3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Empeortamiento de performance relativo a random CV</w:t>
            </w:r>
          </w:p>
        </w:tc>
      </w:tr>
      <w:tr>
        <w:trPr>
          <w:trHeight w:val="615" w:hRule="auto"/>
          <w:tblHeader/>
        </w:trPr>
        <w:tc>
          <w:tcPr>
            <w:gridSpan w:val="3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Penalidad por CV Espacial</w:t>
            </w:r>
          </w:p>
        </w:tc>
      </w:tr>
      <w:tr>
        <w:trPr>
          <w:trHeight w:val="615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Validation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Gap vs Random %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locality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$73,737,845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-355.4%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$75,798,798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-85.9%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Northeast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$82,258,636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759.0%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2026-05-22T20:58:47Z</dcterms:modified>
  <cp:category/>
</cp:coreProperties>
</file>