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rPr>
          <w:rFonts w:ascii="Arial" w:cs="Arial" w:eastAsia="Arial" w:hAnsi="Arial"/>
          <w:b/>
          <w:bCs/>
          <w:color w:val="0E2841"/>
          <w:sz w:val="36"/>
          <w:szCs w:val="36"/>
        </w:rPr>
        <w:t xml:space="preserve">ACUERDO DE TRATAMIENTO DE DATOS (DPA)</w:t>
      </w:r>
    </w:p>
    <w:p>
      <w:pPr>
        <w:spacing w:after="160" w:before="0"/>
      </w:pPr>
      <w:r>
        <w:t xml:space="preserve"/>
      </w:r>
    </w:p>
    <w:p>
      <w:pPr>
        <w:spacing w:after="160" w:before="40"/>
        <w:jc w:val="both"/>
      </w:pPr>
      <w:r>
        <w:rPr>
          <w:rFonts w:ascii="Arial" w:cs="Arial" w:eastAsia="Arial" w:hAnsi="Arial"/>
          <w:color w:val="3D3D3D"/>
          <w:sz w:val="21"/>
          <w:szCs w:val="21"/>
        </w:rPr>
        <w:t xml:space="preserve">Este Acuerdo de Tratamiento de Datos (DPA, por su sigla en inglés, Data Processing Agreement) regula la relación entre [RAZÓN SOCIAL] ("Responsable") y sus proveedores de servicios que tratan datos personales por cuenta del Responsable ("Encargados"), conforme al artículo 15 de la Ley 21.719. Este documento es un modelo para incluir en los contratos con proveedores; los campos entre corchetes deben completarse con los datos de cada proveedor específico.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1.  </w:t>
            </w:r>
            <w:r>
              <w:rPr>
                <w:rFonts w:ascii="Arial" w:cs="Arial" w:eastAsia="Arial" w:hAnsi="Arial"/>
                <w:b/>
                <w:bCs/>
                <w:color w:val="2D6A8C"/>
                <w:sz w:val="24"/>
                <w:szCs w:val="24"/>
              </w:rPr>
              <w:t xml:space="preserve">Identificación de las partes</w:t>
            </w:r>
          </w:p>
        </w:tc>
      </w:tr>
    </w:tbl>
    <w:p>
      <w:pPr>
        <w:spacing w:after="100" w:before="0"/>
      </w:pPr>
      <w:r>
        <w:t xml:space="preserve"/>
      </w:r>
    </w:p>
    <w:p>
      <w:pPr>
        <w:spacing w:after="160" w:before="40"/>
        <w:jc w:val="both"/>
      </w:pPr>
      <w:r>
        <w:rPr>
          <w:rFonts w:ascii="Arial" w:cs="Arial" w:eastAsia="Arial" w:hAnsi="Arial"/>
          <w:b/>
          <w:bCs/>
          <w:color w:val="0E2841"/>
          <w:sz w:val="21"/>
          <w:szCs w:val="21"/>
        </w:rPr>
        <w:t xml:space="preserve">Responsable del tratamiento: </w:t>
      </w:r>
      <w:r>
        <w:rPr>
          <w:rFonts w:ascii="Arial" w:cs="Arial" w:eastAsia="Arial" w:hAnsi="Arial"/>
          <w:color w:val="3D3D3D"/>
          <w:sz w:val="21"/>
          <w:szCs w:val="21"/>
        </w:rPr>
        <w:t xml:space="preserve">[RAZÓN SOCIAL], RUT [RUT], domicilio en [DOMICILIO LEGAL], representada por [REPRESENTANTE LEGAL], correo [CORREO DE CONTACTO].</w:t>
      </w:r>
    </w:p>
    <w:p>
      <w:pPr>
        <w:spacing w:after="160" w:before="40"/>
        <w:jc w:val="both"/>
      </w:pPr>
      <w:r>
        <w:rPr>
          <w:rFonts w:ascii="Arial" w:cs="Arial" w:eastAsia="Arial" w:hAnsi="Arial"/>
          <w:b/>
          <w:bCs/>
          <w:color w:val="0E2841"/>
          <w:sz w:val="21"/>
          <w:szCs w:val="21"/>
        </w:rPr>
        <w:t xml:space="preserve">Encargado del tratamiento: </w:t>
      </w:r>
      <w:r>
        <w:rPr>
          <w:rFonts w:ascii="Arial" w:cs="Arial" w:eastAsia="Arial" w:hAnsi="Arial"/>
          <w:color w:val="3D3D3D"/>
          <w:sz w:val="21"/>
          <w:szCs w:val="21"/>
        </w:rPr>
        <w:t xml:space="preserve">[NOMBRE PROVEEDOR], [RUT O NÚMERO DE IDENTIFICACIÓN], domicilio en [DOMICILIO PROVEEDOR], representado por [REPRESENTANTE PROVEEDOR].</w:t>
      </w:r>
    </w:p>
    <w:p>
      <w:pPr>
        <w:spacing w:after="160" w:before="40"/>
        <w:jc w:val="both"/>
      </w:pPr>
      <w:r>
        <w:rPr>
          <w:rFonts w:ascii="Arial" w:cs="Arial" w:eastAsia="Arial" w:hAnsi="Arial"/>
          <w:color w:val="3D3D3D"/>
          <w:sz w:val="21"/>
          <w:szCs w:val="21"/>
        </w:rPr>
        <w:t xml:space="preserve">Conjuntamente denominadas "las Partes".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2.  </w:t>
            </w:r>
            <w:r>
              <w:rPr>
                <w:rFonts w:ascii="Arial" w:cs="Arial" w:eastAsia="Arial" w:hAnsi="Arial"/>
                <w:b/>
                <w:bCs/>
                <w:color w:val="2D6A8C"/>
                <w:sz w:val="24"/>
                <w:szCs w:val="24"/>
              </w:rPr>
              <w:t xml:space="preserve">Objeto y alcance</w:t>
            </w:r>
          </w:p>
        </w:tc>
      </w:tr>
    </w:tbl>
    <w:p>
      <w:pPr>
        <w:spacing w:after="100" w:before="0"/>
      </w:pPr>
      <w:r>
        <w:t xml:space="preserve"/>
      </w:r>
    </w:p>
    <w:p>
      <w:pPr>
        <w:spacing w:after="160" w:before="40"/>
        <w:jc w:val="both"/>
      </w:pPr>
      <w:r>
        <w:rPr>
          <w:rFonts w:ascii="Arial" w:cs="Arial" w:eastAsia="Arial" w:hAnsi="Arial"/>
          <w:color w:val="3D3D3D"/>
          <w:sz w:val="21"/>
          <w:szCs w:val="21"/>
        </w:rPr>
        <w:t xml:space="preserve">El presente DPA regula las condiciones bajo las cuales el Encargado tratará datos personales de los usuarios de Balance+ en el marco de la prestación del servicio de [DESCRIPCIÓN DEL SERVICIO CONTRATADO], conforme al contrato principal suscrito entre las Partes con fecha [FECHA CONTRATO PRINCIPAL].</w:t>
      </w:r>
    </w:p>
    <w:p>
      <w:pPr>
        <w:spacing w:after="160" w:before="40"/>
        <w:jc w:val="both"/>
      </w:pPr>
      <w:r>
        <w:rPr>
          <w:rFonts w:ascii="Arial" w:cs="Arial" w:eastAsia="Arial" w:hAnsi="Arial"/>
          <w:color w:val="3D3D3D"/>
          <w:sz w:val="21"/>
          <w:szCs w:val="21"/>
        </w:rPr>
        <w:t xml:space="preserve">El Encargado tratará los datos únicamente bajo las instrucciones documentadas del Responsable y no los utilizará para finalidades propias o distintas a las establecidas en este DPA.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3.  </w:t>
            </w:r>
            <w:r>
              <w:rPr>
                <w:rFonts w:ascii="Arial" w:cs="Arial" w:eastAsia="Arial" w:hAnsi="Arial"/>
                <w:b/>
                <w:bCs/>
                <w:color w:val="2D6A8C"/>
                <w:sz w:val="24"/>
                <w:szCs w:val="24"/>
              </w:rPr>
              <w:t xml:space="preserve">Categorías de datos tratados</w:t>
            </w:r>
          </w:p>
        </w:tc>
      </w:tr>
    </w:tbl>
    <w:p>
      <w:pPr>
        <w:spacing w:after="100" w:before="0"/>
      </w:pPr>
      <w:r>
        <w:t xml:space="preserve"/>
      </w:r>
    </w:p>
    <w:p>
      <w:pPr>
        <w:spacing w:after="160" w:before="40"/>
        <w:jc w:val="both"/>
      </w:pPr>
      <w:r>
        <w:rPr>
          <w:rFonts w:ascii="Arial" w:cs="Arial" w:eastAsia="Arial" w:hAnsi="Arial"/>
          <w:color w:val="3D3D3D"/>
          <w:sz w:val="21"/>
          <w:szCs w:val="21"/>
        </w:rPr>
        <w:t xml:space="preserve">El Encargado tratará las siguientes categorías de datos personales de los titulares:</w:t>
      </w:r>
    </w:p>
    <w:p>
      <w:pPr>
        <w:pStyle w:val="ListParagraph"/>
        <w:numPr>
          <w:ilvl w:val="0"/>
          <w:numId w:val="2"/>
        </w:numPr>
        <w:spacing w:after="100" w:before="40"/>
        <w:jc w:val="both"/>
      </w:pPr>
      <w:r>
        <w:rPr>
          <w:rFonts w:ascii="Arial" w:cs="Arial" w:eastAsia="Arial" w:hAnsi="Arial"/>
          <w:color w:val="3D3D3D"/>
          <w:sz w:val="21"/>
          <w:szCs w:val="21"/>
        </w:rPr>
        <w:t xml:space="preserve">[CATEGORÍAS DE DATOS — p. ej.: nombre, correo, datos de salud, datos de pago — según el servicio contratado]</w:t>
      </w:r>
    </w:p>
    <w:p>
      <w:pPr>
        <w:spacing w:after="160" w:before="40"/>
        <w:jc w:val="both"/>
      </w:pPr>
      <w:r>
        <w:rPr>
          <w:rFonts w:ascii="Arial" w:cs="Arial" w:eastAsia="Arial" w:hAnsi="Arial"/>
          <w:color w:val="3D3D3D"/>
          <w:sz w:val="21"/>
          <w:szCs w:val="21"/>
        </w:rPr>
        <w:t xml:space="preserve">Categorías especiales (sensibles):</w:t>
      </w:r>
    </w:p>
    <w:p>
      <w:pPr>
        <w:pStyle w:val="ListParagraph"/>
        <w:numPr>
          <w:ilvl w:val="0"/>
          <w:numId w:val="2"/>
        </w:numPr>
        <w:spacing w:after="100" w:before="40"/>
        <w:jc w:val="both"/>
      </w:pPr>
      <w:r>
        <w:rPr>
          <w:rFonts w:ascii="Arial" w:cs="Arial" w:eastAsia="Arial" w:hAnsi="Arial"/>
          <w:color w:val="3D3D3D"/>
          <w:sz w:val="21"/>
          <w:szCs w:val="21"/>
        </w:rPr>
        <w:t xml:space="preserve">[INDICAR SI APLICA — p. ej.: datos de salud conforme al art. 16 bis Ley 21.719]</w:t>
      </w:r>
    </w:p>
    <w:p>
      <w:pPr>
        <w:spacing w:after="160" w:before="40"/>
        <w:jc w:val="both"/>
      </w:pPr>
      <w:r>
        <w:rPr>
          <w:rFonts w:ascii="Arial" w:cs="Arial" w:eastAsia="Arial" w:hAnsi="Arial"/>
          <w:color w:val="3D3D3D"/>
          <w:sz w:val="21"/>
          <w:szCs w:val="21"/>
        </w:rPr>
        <w:t xml:space="preserve">Categorías de titulares afectados:</w:t>
      </w:r>
    </w:p>
    <w:p>
      <w:pPr>
        <w:pStyle w:val="ListParagraph"/>
        <w:numPr>
          <w:ilvl w:val="0"/>
          <w:numId w:val="2"/>
        </w:numPr>
        <w:spacing w:after="100" w:before="40"/>
        <w:jc w:val="both"/>
      </w:pPr>
      <w:r>
        <w:rPr>
          <w:rFonts w:ascii="Arial" w:cs="Arial" w:eastAsia="Arial" w:hAnsi="Arial"/>
          <w:color w:val="3D3D3D"/>
          <w:sz w:val="21"/>
          <w:szCs w:val="21"/>
        </w:rPr>
        <w:t xml:space="preserve">Usuarios registrados en la Plataforma Balance+ (pacientes).</w:t>
      </w:r>
    </w:p>
    <w:p>
      <w:pPr>
        <w:pStyle w:val="ListParagraph"/>
        <w:numPr>
          <w:ilvl w:val="0"/>
          <w:numId w:val="2"/>
        </w:numPr>
        <w:spacing w:after="100" w:before="40"/>
        <w:jc w:val="both"/>
      </w:pPr>
      <w:r>
        <w:rPr>
          <w:rFonts w:ascii="Arial" w:cs="Arial" w:eastAsia="Arial" w:hAnsi="Arial"/>
          <w:color w:val="3D3D3D"/>
          <w:sz w:val="21"/>
          <w:szCs w:val="21"/>
        </w:rPr>
        <w:t xml:space="preserve">[OTRAS CATEGORÍAS SEGÚN EL SERVICIO]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4.  </w:t>
            </w:r>
            <w:r>
              <w:rPr>
                <w:rFonts w:ascii="Arial" w:cs="Arial" w:eastAsia="Arial" w:hAnsi="Arial"/>
                <w:b/>
                <w:bCs/>
                <w:color w:val="2D6A8C"/>
                <w:sz w:val="24"/>
                <w:szCs w:val="24"/>
              </w:rPr>
              <w:t xml:space="preserve">Obligaciones del Encargado</w:t>
            </w:r>
          </w:p>
        </w:tc>
      </w:tr>
    </w:tbl>
    <w:p>
      <w:pPr>
        <w:spacing w:after="100" w:before="0"/>
      </w:pPr>
      <w:r>
        <w:t xml:space="preserve"/>
      </w:r>
    </w:p>
    <w:p>
      <w:pPr>
        <w:pStyle w:val="ListParagraph"/>
        <w:numPr>
          <w:ilvl w:val="0"/>
          <w:numId w:val="3"/>
        </w:numPr>
        <w:spacing w:after="100" w:before="40"/>
        <w:jc w:val="both"/>
      </w:pPr>
      <w:r>
        <w:rPr>
          <w:rFonts w:ascii="Arial" w:cs="Arial" w:eastAsia="Arial" w:hAnsi="Arial"/>
          <w:color w:val="3D3D3D"/>
          <w:sz w:val="21"/>
          <w:szCs w:val="21"/>
        </w:rPr>
        <w:t xml:space="preserve">Tratar los datos únicamente de acuerdo con las instrucciones documentadas del Responsable, salvo que una obligación legal exija lo contrario, en cuyo caso informará previamente al Responsable.</w:t>
      </w:r>
    </w:p>
    <w:p>
      <w:pPr>
        <w:pStyle w:val="ListParagraph"/>
        <w:numPr>
          <w:ilvl w:val="0"/>
          <w:numId w:val="3"/>
        </w:numPr>
        <w:spacing w:after="100" w:before="40"/>
        <w:jc w:val="both"/>
      </w:pPr>
      <w:r>
        <w:rPr>
          <w:rFonts w:ascii="Arial" w:cs="Arial" w:eastAsia="Arial" w:hAnsi="Arial"/>
          <w:color w:val="3D3D3D"/>
          <w:sz w:val="21"/>
          <w:szCs w:val="21"/>
        </w:rPr>
        <w:t xml:space="preserve">Garantizar que las personas autorizadas para tratar los datos han asumido compromisos de confidencialidad o están sujetas a obligaciones legales de confidencialidad.</w:t>
      </w:r>
    </w:p>
    <w:p>
      <w:pPr>
        <w:pStyle w:val="ListParagraph"/>
        <w:numPr>
          <w:ilvl w:val="0"/>
          <w:numId w:val="3"/>
        </w:numPr>
        <w:spacing w:after="100" w:before="40"/>
        <w:jc w:val="both"/>
      </w:pPr>
      <w:r>
        <w:rPr>
          <w:rFonts w:ascii="Arial" w:cs="Arial" w:eastAsia="Arial" w:hAnsi="Arial"/>
          <w:color w:val="3D3D3D"/>
          <w:sz w:val="21"/>
          <w:szCs w:val="21"/>
        </w:rPr>
        <w:t xml:space="preserve">Implementar medidas de seguridad técnicas y organizativas adecuadas al riesgo conforme al artículo 14 quinquies de la Ley 21.719, incluyendo como mínimo: cifrado en tránsito (TLS 1.2+), cifrado en reposo para datos sensibles, control de acceso basado en roles (RBAC), autenticación multifactor (MFA) para acceso a datos de salud, registro de auditoría de accesos y modificaciones, y copias de seguridad periódicas.</w:t>
      </w:r>
    </w:p>
    <w:p>
      <w:pPr>
        <w:pStyle w:val="ListParagraph"/>
        <w:numPr>
          <w:ilvl w:val="0"/>
          <w:numId w:val="3"/>
        </w:numPr>
        <w:spacing w:after="100" w:before="40"/>
        <w:jc w:val="both"/>
      </w:pPr>
      <w:r>
        <w:rPr>
          <w:rFonts w:ascii="Arial" w:cs="Arial" w:eastAsia="Arial" w:hAnsi="Arial"/>
          <w:color w:val="3D3D3D"/>
          <w:sz w:val="21"/>
          <w:szCs w:val="21"/>
        </w:rPr>
        <w:t xml:space="preserve">No subcontratar el tratamiento de datos a terceros sin autorización previa y por escrito del Responsable. Si se autoriza la subcontratación, el Encargado garantizará que el subencargado cumpla obligaciones equivalentes a las de este DPA.</w:t>
      </w:r>
    </w:p>
    <w:p>
      <w:pPr>
        <w:pStyle w:val="ListParagraph"/>
        <w:numPr>
          <w:ilvl w:val="0"/>
          <w:numId w:val="3"/>
        </w:numPr>
        <w:spacing w:after="100" w:before="40"/>
        <w:jc w:val="both"/>
      </w:pPr>
      <w:r>
        <w:rPr>
          <w:rFonts w:ascii="Arial" w:cs="Arial" w:eastAsia="Arial" w:hAnsi="Arial"/>
          <w:color w:val="3D3D3D"/>
          <w:sz w:val="21"/>
          <w:szCs w:val="21"/>
        </w:rPr>
        <w:t xml:space="preserve">Asistir al Responsable, en la medida de lo posible, para dar respuesta a las solicitudes ARCOP de los titulares dentro de los plazos establecidos por el artículo 11 de la Ley 21.719 (30 días corridos).</w:t>
      </w:r>
    </w:p>
    <w:p>
      <w:pPr>
        <w:pStyle w:val="ListParagraph"/>
        <w:numPr>
          <w:ilvl w:val="0"/>
          <w:numId w:val="3"/>
        </w:numPr>
        <w:spacing w:after="100" w:before="40"/>
        <w:jc w:val="both"/>
      </w:pPr>
      <w:r>
        <w:rPr>
          <w:rFonts w:ascii="Arial" w:cs="Arial" w:eastAsia="Arial" w:hAnsi="Arial"/>
          <w:color w:val="3D3D3D"/>
          <w:sz w:val="21"/>
          <w:szCs w:val="21"/>
        </w:rPr>
        <w:t xml:space="preserve">Notificar al Responsable, sin dilaciones indebidas y en todo caso dentro de las 24 horas de conocida la incidencia, cualquier brecha de seguridad que afecte datos personales tratados en virtud de este DPA.</w:t>
      </w:r>
    </w:p>
    <w:p>
      <w:pPr>
        <w:pStyle w:val="ListParagraph"/>
        <w:numPr>
          <w:ilvl w:val="0"/>
          <w:numId w:val="3"/>
        </w:numPr>
        <w:spacing w:after="100" w:before="40"/>
        <w:jc w:val="both"/>
      </w:pPr>
      <w:r>
        <w:rPr>
          <w:rFonts w:ascii="Arial" w:cs="Arial" w:eastAsia="Arial" w:hAnsi="Arial"/>
          <w:color w:val="3D3D3D"/>
          <w:sz w:val="21"/>
          <w:szCs w:val="21"/>
        </w:rPr>
        <w:t xml:space="preserve">Colaborar con el Responsable en la realización de evaluaciones de impacto relativas a la protección de datos (EIPD) cuando resulte aplicable.</w:t>
      </w:r>
    </w:p>
    <w:p>
      <w:pPr>
        <w:pStyle w:val="ListParagraph"/>
        <w:numPr>
          <w:ilvl w:val="0"/>
          <w:numId w:val="3"/>
        </w:numPr>
        <w:spacing w:after="100" w:before="40"/>
        <w:jc w:val="both"/>
      </w:pPr>
      <w:r>
        <w:rPr>
          <w:rFonts w:ascii="Arial" w:cs="Arial" w:eastAsia="Arial" w:hAnsi="Arial"/>
          <w:color w:val="3D3D3D"/>
          <w:sz w:val="21"/>
          <w:szCs w:val="21"/>
        </w:rPr>
        <w:t xml:space="preserve">Devolver o destruir los datos personales en poder del Encargado a la terminación del contrato, según elija el Responsable, salvo que la conservación sea exigida por ley.</w:t>
      </w:r>
    </w:p>
    <w:p>
      <w:pPr>
        <w:pStyle w:val="ListParagraph"/>
        <w:numPr>
          <w:ilvl w:val="0"/>
          <w:numId w:val="3"/>
        </w:numPr>
        <w:spacing w:after="100" w:before="40"/>
        <w:jc w:val="both"/>
      </w:pPr>
      <w:r>
        <w:rPr>
          <w:rFonts w:ascii="Arial" w:cs="Arial" w:eastAsia="Arial" w:hAnsi="Arial"/>
          <w:color w:val="3D3D3D"/>
          <w:sz w:val="21"/>
          <w:szCs w:val="21"/>
        </w:rPr>
        <w:t xml:space="preserve">Mantener un registro de las actividades de tratamiento realizadas en nombre del Responsable, disponible a requerimiento.</w:t>
      </w:r>
    </w:p>
    <w:p>
      <w:pPr>
        <w:pStyle w:val="ListParagraph"/>
        <w:numPr>
          <w:ilvl w:val="0"/>
          <w:numId w:val="3"/>
        </w:numPr>
        <w:spacing w:after="100" w:before="40"/>
        <w:jc w:val="both"/>
      </w:pPr>
      <w:r>
        <w:rPr>
          <w:rFonts w:ascii="Arial" w:cs="Arial" w:eastAsia="Arial" w:hAnsi="Arial"/>
          <w:color w:val="3D3D3D"/>
          <w:sz w:val="21"/>
          <w:szCs w:val="21"/>
        </w:rPr>
        <w:t xml:space="preserve">Facilitar al Responsable o a sus auditores el acceso necesario para verificar el cumplimiento de las obligaciones del presente DPA.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5.  </w:t>
            </w:r>
            <w:r>
              <w:rPr>
                <w:rFonts w:ascii="Arial" w:cs="Arial" w:eastAsia="Arial" w:hAnsi="Arial"/>
                <w:b/>
                <w:bCs/>
                <w:color w:val="2D6A8C"/>
                <w:sz w:val="24"/>
                <w:szCs w:val="24"/>
              </w:rPr>
              <w:t xml:space="preserve">Transferencias internacionales de datos</w:t>
            </w:r>
          </w:p>
        </w:tc>
      </w:tr>
    </w:tbl>
    <w:p>
      <w:pPr>
        <w:spacing w:after="100" w:before="0"/>
      </w:pPr>
      <w:r>
        <w:t xml:space="preserve"/>
      </w:r>
    </w:p>
    <w:p>
      <w:pPr>
        <w:spacing w:after="160" w:before="40"/>
        <w:jc w:val="both"/>
      </w:pPr>
      <w:r>
        <w:rPr>
          <w:rFonts w:ascii="Arial" w:cs="Arial" w:eastAsia="Arial" w:hAnsi="Arial"/>
          <w:color w:val="3D3D3D"/>
          <w:sz w:val="21"/>
          <w:szCs w:val="21"/>
        </w:rPr>
        <w:t xml:space="preserve">Si el Encargado transfiere datos a países fuera de Chile, deberá garantizar que dicho país ofrece un nivel de protección adecuado conforme a los artículos 27-28 de la Ley 21.719, o bien que se han adoptado garantías adecuadas (cláusulas contractuales tipo, normas corporativas vinculantes u otro mecanismo reconocido por la Agencia de Protección de Datos Personales).</w:t>
      </w:r>
    </w:p>
    <w:p>
      <w:pPr>
        <w:spacing w:after="160" w:before="40"/>
        <w:jc w:val="both"/>
      </w:pPr>
      <w:r>
        <w:rPr>
          <w:rFonts w:ascii="Arial" w:cs="Arial" w:eastAsia="Arial" w:hAnsi="Arial"/>
          <w:b/>
          <w:bCs/>
          <w:color w:val="0E2841"/>
          <w:sz w:val="21"/>
          <w:szCs w:val="21"/>
        </w:rPr>
        <w:t xml:space="preserve">País/región del servidor o subencargado: </w:t>
      </w:r>
      <w:r>
        <w:rPr>
          <w:rFonts w:ascii="Arial" w:cs="Arial" w:eastAsia="Arial" w:hAnsi="Arial"/>
          <w:color w:val="3D3D3D"/>
          <w:sz w:val="21"/>
          <w:szCs w:val="21"/>
        </w:rPr>
        <w:t xml:space="preserve">[PAÍS DEL PROVEEDOR O SERVIDOR].</w:t>
      </w:r>
    </w:p>
    <w:p>
      <w:pPr>
        <w:spacing w:after="160" w:before="40"/>
        <w:jc w:val="both"/>
      </w:pPr>
      <w:r>
        <w:rPr>
          <w:rFonts w:ascii="Arial" w:cs="Arial" w:eastAsia="Arial" w:hAnsi="Arial"/>
          <w:b/>
          <w:bCs/>
          <w:color w:val="0E2841"/>
          <w:sz w:val="21"/>
          <w:szCs w:val="21"/>
        </w:rPr>
        <w:t xml:space="preserve">Garantías adoptadas: </w:t>
      </w:r>
      <w:r>
        <w:rPr>
          <w:rFonts w:ascii="Arial" w:cs="Arial" w:eastAsia="Arial" w:hAnsi="Arial"/>
          <w:color w:val="3D3D3D"/>
          <w:sz w:val="21"/>
          <w:szCs w:val="21"/>
        </w:rPr>
        <w:t xml:space="preserve">[MECANISMO DE TRANSFERENCIA — p. ej.: cláusulas contractuales tipo, nivel de adecuación, etc.].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6.  </w:t>
            </w:r>
            <w:r>
              <w:rPr>
                <w:rFonts w:ascii="Arial" w:cs="Arial" w:eastAsia="Arial" w:hAnsi="Arial"/>
                <w:b/>
                <w:bCs/>
                <w:color w:val="2D6A8C"/>
                <w:sz w:val="24"/>
                <w:szCs w:val="24"/>
              </w:rPr>
              <w:t xml:space="preserve">Responsabilidad y auditoría</w:t>
            </w:r>
          </w:p>
        </w:tc>
      </w:tr>
    </w:tbl>
    <w:p>
      <w:pPr>
        <w:spacing w:after="100" w:before="0"/>
      </w:pPr>
      <w:r>
        <w:t xml:space="preserve"/>
      </w:r>
    </w:p>
    <w:p>
      <w:pPr>
        <w:spacing w:after="160" w:before="40"/>
        <w:jc w:val="both"/>
      </w:pPr>
      <w:r>
        <w:rPr>
          <w:rFonts w:ascii="Arial" w:cs="Arial" w:eastAsia="Arial" w:hAnsi="Arial"/>
          <w:color w:val="3D3D3D"/>
          <w:sz w:val="21"/>
          <w:szCs w:val="21"/>
        </w:rPr>
        <w:t xml:space="preserve">El Encargado será responsable de los daños causados por el tratamiento cuando no haya cumplido las obligaciones de la Ley 21.719 o las instrucciones del Responsable, conforme al artículo 15 y concordantes de dicha ley.</w:t>
      </w:r>
    </w:p>
    <w:p>
      <w:pPr>
        <w:spacing w:after="160" w:before="40"/>
        <w:jc w:val="both"/>
      </w:pPr>
      <w:r>
        <w:rPr>
          <w:rFonts w:ascii="Arial" w:cs="Arial" w:eastAsia="Arial" w:hAnsi="Arial"/>
          <w:color w:val="3D3D3D"/>
          <w:sz w:val="21"/>
          <w:szCs w:val="21"/>
        </w:rPr>
        <w:t xml:space="preserve">El Responsable podrá realizar auditorías o inspecciones, por sí mismo o a través de terceros designados, con previo aviso de 10 días hábiles, para verificar el cumplimiento de este DPA. El Encargado facilitará acceso razonable a sus sistemas, documentación y personal.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7.  </w:t>
            </w:r>
            <w:r>
              <w:rPr>
                <w:rFonts w:ascii="Arial" w:cs="Arial" w:eastAsia="Arial" w:hAnsi="Arial"/>
                <w:b/>
                <w:bCs/>
                <w:color w:val="2D6A8C"/>
                <w:sz w:val="24"/>
                <w:szCs w:val="24"/>
              </w:rPr>
              <w:t xml:space="preserve">Vigencia y terminación</w:t>
            </w:r>
          </w:p>
        </w:tc>
      </w:tr>
    </w:tbl>
    <w:p>
      <w:pPr>
        <w:spacing w:after="100" w:before="0"/>
      </w:pPr>
      <w:r>
        <w:t xml:space="preserve"/>
      </w:r>
    </w:p>
    <w:p>
      <w:pPr>
        <w:spacing w:after="160" w:before="40"/>
        <w:jc w:val="both"/>
      </w:pPr>
      <w:r>
        <w:rPr>
          <w:rFonts w:ascii="Arial" w:cs="Arial" w:eastAsia="Arial" w:hAnsi="Arial"/>
          <w:color w:val="3D3D3D"/>
          <w:sz w:val="21"/>
          <w:szCs w:val="21"/>
        </w:rPr>
        <w:t xml:space="preserve">Este DPA tendrá la misma vigencia que el contrato principal entre las Partes. A su terminación, el Encargado eliminará o devolverá todos los datos personales en su poder, según las instrucciones del Responsable, dentro de los 30 días siguientes a la fecha de terminación, salvo que la ley imponga conservación adicional.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8.  </w:t>
            </w:r>
            <w:r>
              <w:rPr>
                <w:rFonts w:ascii="Arial" w:cs="Arial" w:eastAsia="Arial" w:hAnsi="Arial"/>
                <w:b/>
                <w:bCs/>
                <w:color w:val="2D6A8C"/>
                <w:sz w:val="24"/>
                <w:szCs w:val="24"/>
              </w:rPr>
              <w:t xml:space="preserve">Ley aplicable y resolución de controversias</w:t>
            </w:r>
          </w:p>
        </w:tc>
      </w:tr>
    </w:tbl>
    <w:p>
      <w:pPr>
        <w:spacing w:after="100" w:before="0"/>
      </w:pPr>
      <w:r>
        <w:t xml:space="preserve"/>
      </w:r>
    </w:p>
    <w:p>
      <w:pPr>
        <w:spacing w:after="160" w:before="40"/>
        <w:jc w:val="both"/>
      </w:pPr>
      <w:r>
        <w:rPr>
          <w:rFonts w:ascii="Arial" w:cs="Arial" w:eastAsia="Arial" w:hAnsi="Arial"/>
          <w:color w:val="3D3D3D"/>
          <w:sz w:val="21"/>
          <w:szCs w:val="21"/>
        </w:rPr>
        <w:t xml:space="preserve">Este DPA se rige por la legislación chilena, en particular la Ley 21.719, la Ley 19.628 y demás normas aplicables. Cualquier controversia se someterá a los tribunales ordinarios de justicia con asiento en [CIUDAD ARBITRAJE O JURISDICCIÓN], sin perjuicio de los derechos de los titulares ante la Agencia de Protección de Datos Personales.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9.  </w:t>
            </w:r>
            <w:r>
              <w:rPr>
                <w:rFonts w:ascii="Arial" w:cs="Arial" w:eastAsia="Arial" w:hAnsi="Arial"/>
                <w:b/>
                <w:bCs/>
                <w:color w:val="2D6A8C"/>
                <w:sz w:val="24"/>
                <w:szCs w:val="24"/>
              </w:rPr>
              <w:t xml:space="preserve">Subcláusulas aplicables a datos de salud</w:t>
            </w:r>
          </w:p>
        </w:tc>
      </w:tr>
    </w:tbl>
    <w:p>
      <w:pPr>
        <w:spacing w:after="100" w:before="0"/>
      </w:pPr>
      <w:r>
        <w:t xml:space="preserve"/>
      </w:r>
    </w:p>
    <w:p>
      <w:pPr>
        <w:spacing w:after="160" w:before="40"/>
        <w:jc w:val="both"/>
      </w:pPr>
      <w:r>
        <w:rPr>
          <w:rFonts w:ascii="Arial" w:cs="Arial" w:eastAsia="Arial" w:hAnsi="Arial"/>
          <w:color w:val="3D3D3D"/>
          <w:sz w:val="21"/>
          <w:szCs w:val="21"/>
        </w:rPr>
        <w:t xml:space="preserve">Dado que el tratamiento incluye datos sensibles de salud (art. 16 bis Ley 21.719), el Encargado se obliga adicionalmente a:</w:t>
      </w:r>
    </w:p>
    <w:p>
      <w:pPr>
        <w:pStyle w:val="ListParagraph"/>
        <w:numPr>
          <w:ilvl w:val="0"/>
          <w:numId w:val="2"/>
        </w:numPr>
        <w:spacing w:after="100" w:before="40"/>
        <w:jc w:val="both"/>
      </w:pPr>
      <w:r>
        <w:rPr>
          <w:rFonts w:ascii="Arial" w:cs="Arial" w:eastAsia="Arial" w:hAnsi="Arial"/>
          <w:color w:val="3D3D3D"/>
          <w:sz w:val="21"/>
          <w:szCs w:val="21"/>
        </w:rPr>
        <w:t xml:space="preserve">Implementar segregación lógica de los datos de salud respecto de otros datos tratados en sus sistemas.</w:t>
      </w:r>
    </w:p>
    <w:p>
      <w:pPr>
        <w:pStyle w:val="ListParagraph"/>
        <w:numPr>
          <w:ilvl w:val="0"/>
          <w:numId w:val="2"/>
        </w:numPr>
        <w:spacing w:after="100" w:before="40"/>
        <w:jc w:val="both"/>
      </w:pPr>
      <w:r>
        <w:rPr>
          <w:rFonts w:ascii="Arial" w:cs="Arial" w:eastAsia="Arial" w:hAnsi="Arial"/>
          <w:color w:val="3D3D3D"/>
          <w:sz w:val="21"/>
          <w:szCs w:val="21"/>
        </w:rPr>
        <w:t xml:space="preserve">Cumplir con los estándares de seguridad aplicables a sistemas de información en salud establecidos en la Norma General Técnica N° 237 del MINSAL y la resolución exenta correspondiente.</w:t>
      </w:r>
    </w:p>
    <w:p>
      <w:pPr>
        <w:pStyle w:val="ListParagraph"/>
        <w:numPr>
          <w:ilvl w:val="0"/>
          <w:numId w:val="2"/>
        </w:numPr>
        <w:spacing w:after="100" w:before="40"/>
        <w:jc w:val="both"/>
      </w:pPr>
      <w:r>
        <w:rPr>
          <w:rFonts w:ascii="Arial" w:cs="Arial" w:eastAsia="Arial" w:hAnsi="Arial"/>
          <w:color w:val="3D3D3D"/>
          <w:sz w:val="21"/>
          <w:szCs w:val="21"/>
        </w:rPr>
        <w:t xml:space="preserve">Garantizar que únicamente personal con rol clínico o de soporte clínico debidamente autorizado acceda a datos de salud de los usuarios.</w:t>
      </w:r>
    </w:p>
    <w:p>
      <w:pPr>
        <w:pStyle w:val="ListParagraph"/>
        <w:numPr>
          <w:ilvl w:val="0"/>
          <w:numId w:val="2"/>
        </w:numPr>
        <w:spacing w:after="100" w:before="40"/>
        <w:jc w:val="both"/>
      </w:pPr>
      <w:r>
        <w:rPr>
          <w:rFonts w:ascii="Arial" w:cs="Arial" w:eastAsia="Arial" w:hAnsi="Arial"/>
          <w:color w:val="3D3D3D"/>
          <w:sz w:val="21"/>
          <w:szCs w:val="21"/>
        </w:rPr>
        <w:t xml:space="preserve">Destruir toda copia física o digital de datos de salud al término del contrato, salvo instrucción expresa en contrario del Responsable.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2" w:space="4"/>
      </w:pBdr>
      <w:spacing w:before="80"/>
      <w:jc w:val="center"/>
    </w:pPr>
    <w:r>
      <w:rPr>
        <w:rFonts w:ascii="Arial" w:cs="Arial" w:eastAsia="Arial" w:hAnsi="Arial"/>
        <w:b/>
        <w:bCs/>
        <w:color w:val="6B6B6B"/>
        <w:sz w:val="17"/>
        <w:szCs w:val="17"/>
      </w:rPr>
      <w:t xml:space="preserve">Página </w:t>
    </w:r>
    <w:r>
      <w:rPr>
        <w:rFonts w:ascii="Arial" w:cs="Arial" w:eastAsia="Arial" w:hAnsi="Arial"/>
        <w:b/>
        <w:bCs/>
        <w:color w:val="6B6B6B"/>
        <w:sz w:val="17"/>
        <w:szCs w:val="17"/>
      </w:rPr>
      <w:fldChar w:fldCharType="begin"/>
      <w:instrText xml:space="preserve">PAGE</w:instrText>
      <w:fldChar w:fldCharType="separate"/>
      <w:fldChar w:fldCharType="end"/>
    </w:r>
    <w:r>
      <w:rPr>
        <w:rFonts w:ascii="Arial" w:cs="Arial" w:eastAsia="Arial" w:hAnsi="Arial"/>
        <w:b/>
        <w:bCs/>
        <w:color w:val="6B6B6B"/>
        <w:sz w:val="17"/>
        <w:szCs w:val="17"/>
      </w:rPr>
      <w:t xml:space="preserve"> de </w:t>
    </w:r>
    <w:r>
      <w:rPr>
        <w:rFonts w:ascii="Arial" w:cs="Arial" w:eastAsia="Arial" w:hAnsi="Arial"/>
        <w:b/>
        <w:bCs/>
        <w:color w:val="6B6B6B"/>
        <w:sz w:val="17"/>
        <w:szCs w:val="17"/>
      </w:rPr>
      <w:fldChar w:fldCharType="begin"/>
      <w:instrText xml:space="preserve">NUMPAGES</w:instrText>
      <w:fldChar w:fldCharType="separate"/>
      <w:fldChar w:fldCharType="end"/>
    </w:r>
    <w:r>
      <w:rPr>
        <w:rFonts w:ascii="Arial" w:cs="Arial" w:eastAsia="Arial" w:hAnsi="Arial"/>
        <w:b/>
        <w:bCs/>
        <w:color w:val="6B6B6B"/>
        <w:sz w:val="17"/>
        <w:szCs w:val="17"/>
      </w:rPr>
      <w:t xml:space="preserve"> – DPA — Acuerdo de Tratamiento de Datos –  Versión 1.0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2026-06-13T20:57:23.183Z</dcterms:created>
  <dcterms:modified xsi:type="dcterms:W3CDTF">2026-06-13T20:57:23.183Z</dcterms:modified>
</cp:coreProperties>
</file>

<file path=docProps/custom.xml><?xml version="1.0" encoding="utf-8"?>
<Properties xmlns="http://schemas.openxmlformats.org/officeDocument/2006/custom-properties" xmlns:vt="http://schemas.openxmlformats.org/officeDocument/2006/docPropsVTypes"/>
</file>