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Arial" w:cs="Arial" w:eastAsia="Arial" w:hAnsi="Arial"/>
          <w:b/>
          <w:bCs/>
          <w:color w:val="0E2841"/>
          <w:sz w:val="36"/>
          <w:szCs w:val="36"/>
        </w:rPr>
        <w:t xml:space="preserve">POLÍTICA DE SEGURIDAD DE LA INFORMACIÓN</w:t>
      </w:r>
    </w:p>
    <w:p>
      <w:pPr>
        <w:spacing w:after="1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Esta Política de Seguridad de la Información establece los principios, controles y responsabilidades que Balance+ aplica para proteger la confidencialidad, integridad y disponibilidad de los datos personales y de salud de sus usuarios, conforme al artículo 14 quinquies de la Ley 21.719 y la Norma General Técnica (NGT) N° 237 del MINSAL.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Alcance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Esta política aplica a todos los sistemas de información, aplicaciones, bases de datos, infraestructura y personal que procesen, almacenen o transmitan datos personales y/o de salud de usuarios de Balance+, incluyendo empleados, contratistas y proveedores con acceso a dichos datos.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Principios de seguridad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Confidencialidad: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Solo acceden a los datos quienes están autorizados para ello según su función.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Integridad: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Los datos son precisos, completos y no han sido alterados de forma no autorizada.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Disponibilidad: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Los sistemas y datos están accesibles para usuarios y personal autorizados cuando se necesitan.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Proporcionalidad: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Las medidas de seguridad son proporcionales al riesgo y al tipo de datos tratados.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2D6A8C"/>
          <w:sz w:val="21"/>
          <w:szCs w:val="21"/>
        </w:rPr>
        <w:t xml:space="preserve">Privacidad desde el diseño: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La protección de datos se incorpora en el diseño de sistemas y procesos, no como un añadido posterior (art. 14 quáter Ley 21.719).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Control de acceso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Principio de mínimo privilegio: cada usuario y proceso tiene acceso únicamente a los datos y funciones necesarios para su rol.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Control de acceso basado en roles (RBAC): los permisos se asignan a roles predefinidos (médico, nutricionista, paciente, soporte, administrador) y no a personas individualmente.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Autenticación multifactor (MFA): obligatoria para todo acceso a datos de salud, consola de administración y acceso remoto.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Contraseñas seguras: longitud mínima de 12 caracteres, combinación de mayúsculas, minúsculas, números y símbolos; prohibición de contraseñas reutilizadas.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Revisión periódica de accesos: auditoría trimestral de los roles y permisos asignados, con revocación inmediata ante cambios de función o desvinculación.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Gestión de identidades: uso de proveedor de identidad centralizado (IdP) con soporte para inicio de sesión único (SSO) y aprovisionamiento/desaprovisionamiento automatizado.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Cifrado y transmisión segura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En tránsito: todos los datos en transmisión utilizan TLS 1.2 o superior. Se prohíbe el uso de protocolos obsoletos (SSL, TLS 1.0, TLS 1.1).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En reposo: los datos sensibles de salud y datos personales almacenados en bases de datos y sistemas de archivos se cifran con AES-256 o equivalente.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Gestión de claves: las claves criptográficas se gestionan mediante un sistema de gestión de claves (KMS) con rotación periódica y separación de funciones.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Eliminación segura: los datos eliminados se suprimen de forma que no puedan recuperarse (borrado seguro o destrucción física de medios, según corresponda).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Seguridad de la infraestructura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La infraestructura de Balance+ se aloja en proveedores de nube con certificaciones de seguridad reconocidas ([PROVEEDOR NUBE, p. ej., ISO 27001, SOC 2 Type II]).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Segmentación de red: las bases de datos de salud se ubican en segmentos de red privados, sin acceso directo desde internet.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Firewall de aplicaciones web (WAF): protección contra ataques OWASP Top 10 (inyección SQL, XSS, CSRF, etc.).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Gestión de vulnerabilidades: análisis periódico de vulnerabilidades (mínimo trimestral) y pruebas de penetración (mínimo anual) por terceros independientes.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Gestión de parches: los sistemas operativos, dependencias y librerías se actualizan con prioridad según la criticidad de las vulnerabilidades (CVSS).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DDoS: mecanismos de protección contra ataques de denegación de servicio distribuido.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Registro y monitorización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Logs de auditoría: se registran todos los accesos, modificaciones y exportaciones de datos de salud con sello de tiempo, identificador de usuario y dirección IP.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Conservación de logs: los registros de auditoría se conservan por el plazo establecido en la Ley 21.663 de Infraestructuras Críticas y normativa aplicable (mínimo 1 año).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Monitorización continua: sistema de detección de intrusiones (IDS/IPS) y alertas de comportamiento anómalo (SIEM).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Revisión de logs: el equipo de seguridad revisa las alertas de forma continua y realiza revisiones manuales periódicas.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Copias de seguridad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Frecuencia: copias de seguridad incrementales diarias y completas semanales de todas las bases de datos.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Almacenamiento: las copias se almacenan en ubicación geográficamente separada del servidor principal y cifradas con las mismas medidas que los datos de producción.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Pruebas de restauración: se realizan pruebas de restauración trimestrales para verificar la integridad y recuperabilidad de las copias.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Retención: los respaldos se conservan por al menos 30 días. Las copias de datos de salud se conservan por el plazo equivalente al de la ficha clínica.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Gestión de brechas de seguridad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Ante una brecha de seguridad que afecte datos personales, Balance+ actuará conforme al artículo 14 sexies de la Ley 21.719: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Detección y contención: el equipo de seguridad contiene la brecha y evalúa su alcance en el menor tiempo posible.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Notificación interna: se activa el protocolo de respuesta a incidentes y se notifica a la dirección y al DPO.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Evaluación de riesgo: se evalúa si la brecha representa un riesgo significativo para los derechos de los titulares.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Notificación a la Agencia y a titulares: si la brecha supone riesgo significativo, se notifica a la Agencia de Protección de Datos Personales y a los titulares afectados sin dilaciones indebidas (art. 14 sexies Ley 21.719).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Remediación: se implementan medidas correctivas para evitar la recurrencia y se documenta el incidente completo.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Se mantiene un registro de todas las brechas de seguridad, incluyendo las que no requirieron notificación, con descripción, impacto, medidas adoptadas y resultado.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Formación y concienciación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Todo el personal con acceso a datos personales recibe formación en protección de datos y seguridad de la información al momento de su incorporación y al menos una vez al año. Los contenidos cubren: principios de la Ley 21.719, uso seguro de contraseñas, identificación de phishing, manejo de información confidencial y protocolo ante incidentes de seguridad.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Gestión de proveedores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Todos los proveedores con acceso a datos personales o sistemas de Balance+ deben suscribir un Acuerdo de Tratamiento de Datos (DPA) conforme al modelo descrito en el Documento N° 7 de este set legal. Se realiza una evaluación de seguridad previa a la contratación y revisiones periódicas durante la relación contractual.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Revisión de la política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Esta política se revisa al menos una vez al año o ante cambios relevantes en la tecnología, la regulación aplicable o los riesgos identificados. El DPO es responsable de mantener esta política actualizada y de comunicar los cambios al personal y a los proveedores afectados.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Contacto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DPO / Delegado de Protección de Datos: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[DATOS DEL DPO/DELEGADO].</w:t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Correo de seguridad: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[CORREO DE CONTACTO].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2" w:space="4"/>
      </w:pBdr>
      <w:spacing w:before="80"/>
      <w:jc w:val="center"/>
    </w:pPr>
    <w:r>
      <w:rPr>
        <w:rFonts w:ascii="Arial" w:cs="Arial" w:eastAsia="Arial" w:hAnsi="Arial"/>
        <w:b/>
        <w:bCs/>
        <w:color w:val="6B6B6B"/>
        <w:sz w:val="17"/>
        <w:szCs w:val="17"/>
      </w:rPr>
      <w:t xml:space="preserve">Página </w:t>
    </w:r>
    <w:r>
      <w:rPr>
        <w:rFonts w:ascii="Arial" w:cs="Arial" w:eastAsia="Arial" w:hAnsi="Arial"/>
        <w:b/>
        <w:bCs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6B6B6B"/>
        <w:sz w:val="17"/>
        <w:szCs w:val="17"/>
      </w:rPr>
      <w:t xml:space="preserve"> de </w:t>
    </w:r>
    <w:r>
      <w:rPr>
        <w:rFonts w:ascii="Arial" w:cs="Arial" w:eastAsia="Arial" w:hAnsi="Arial"/>
        <w:b/>
        <w:bCs/>
        <w:color w:val="6B6B6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/>
        <w:bCs/>
        <w:color w:val="6B6B6B"/>
        <w:sz w:val="17"/>
        <w:szCs w:val="17"/>
      </w:rPr>
      <w:t xml:space="preserve"> – Política de Seguridad –  Versión 1.0 —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2026-06-13T20:57:23.567Z</dcterms:created>
  <dcterms:modified xsi:type="dcterms:W3CDTF">2026-06-13T20:57:23.567Z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