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416D5C"/>
          <w:sz w:val="46"/>
        </w:rPr>
        <w:t>DOCUMENTO DE ATUALIZAÇÃO DO SITE</w:t>
      </w:r>
    </w:p>
    <w:p>
      <w:pPr>
        <w:spacing w:after="320"/>
      </w:pPr>
      <w:r>
        <w:rPr>
          <w:rFonts w:ascii="Calibri" w:hAnsi="Calibri"/>
          <w:b w:val="0"/>
          <w:i w:val="0"/>
          <w:color w:val="253A36"/>
          <w:sz w:val="28"/>
        </w:rPr>
        <w:t>Portal de Programas — Dra. Camila de Melo Matos</w:t>
      </w:r>
    </w:p>
    <w:p>
      <w:pPr>
        <w:spacing w:after="40"/>
      </w:pPr>
      <w:r>
        <w:rPr>
          <w:rFonts w:ascii="Calibri" w:hAnsi="Calibri"/>
          <w:b/>
          <w:i w:val="0"/>
          <w:color w:val="253A36"/>
          <w:sz w:val="22"/>
        </w:rPr>
        <w:t xml:space="preserve">Destino: </w:t>
      </w:r>
      <w:r>
        <w:rPr>
          <w:rFonts w:ascii="Calibri" w:hAnsi="Calibri"/>
          <w:b w:val="0"/>
          <w:i w:val="0"/>
          <w:color w:val="253A36"/>
          <w:sz w:val="22"/>
        </w:rPr>
        <w:t>Portal principal e publicação Netlify</w:t>
      </w:r>
    </w:p>
    <w:p>
      <w:pPr>
        <w:spacing w:after="40"/>
      </w:pPr>
      <w:r>
        <w:rPr>
          <w:rFonts w:ascii="Calibri" w:hAnsi="Calibri"/>
          <w:b/>
          <w:i w:val="0"/>
          <w:color w:val="253A36"/>
          <w:sz w:val="22"/>
        </w:rPr>
        <w:t xml:space="preserve">Repositório informado: </w:t>
      </w:r>
      <w:r>
        <w:rPr>
          <w:rFonts w:ascii="Calibri" w:hAnsi="Calibri"/>
          <w:b w:val="0"/>
          <w:i w:val="0"/>
          <w:color w:val="253A36"/>
          <w:sz w:val="22"/>
        </w:rPr>
        <w:t>camimelo955-netizen/programasdracamila</w:t>
      </w:r>
    </w:p>
    <w:p>
      <w:pPr>
        <w:spacing w:after="40"/>
      </w:pPr>
      <w:r>
        <w:rPr>
          <w:rFonts w:ascii="Calibri" w:hAnsi="Calibri"/>
          <w:b/>
          <w:i w:val="0"/>
          <w:color w:val="253A36"/>
          <w:sz w:val="22"/>
        </w:rPr>
        <w:t xml:space="preserve">Programa atualizado: </w:t>
      </w:r>
      <w:r>
        <w:rPr>
          <w:rFonts w:ascii="Calibri" w:hAnsi="Calibri"/>
          <w:b w:val="0"/>
          <w:i w:val="0"/>
          <w:color w:val="253A36"/>
          <w:sz w:val="22"/>
        </w:rPr>
        <w:t>Viver Bem com Diabetes — Insulina</w:t>
      </w:r>
    </w:p>
    <w:p>
      <w:pPr>
        <w:spacing w:after="40"/>
      </w:pPr>
      <w:r>
        <w:rPr>
          <w:rFonts w:ascii="Calibri" w:hAnsi="Calibri"/>
          <w:b/>
          <w:i w:val="0"/>
          <w:color w:val="253A36"/>
          <w:sz w:val="22"/>
        </w:rPr>
        <w:t xml:space="preserve">Status: </w:t>
      </w:r>
      <w:r>
        <w:rPr>
          <w:rFonts w:ascii="Calibri" w:hAnsi="Calibri"/>
          <w:b w:val="0"/>
          <w:i w:val="0"/>
          <w:color w:val="253A36"/>
          <w:sz w:val="22"/>
        </w:rPr>
        <w:t>Programa individual publicado; integração ao portal principal pendente</w:t>
      </w:r>
    </w:p>
    <w:p>
      <w:pPr>
        <w:pStyle w:val="Heading1"/>
      </w:pPr>
      <w:r>
        <w:t>1. Objetivo da atualização</w:t>
      </w:r>
    </w:p>
    <w:p>
      <w:r>
        <w:t>Atualizar o portal principal da Dra. Camila para abrir corretamente o programa Viver Bem com Diabetes — Insulina e manter os acessos médico e do paciente separados, com armazenamento seguro dos registros.</w:t>
      </w:r>
    </w:p>
    <w:p>
      <w:pPr>
        <w:pStyle w:val="Heading1"/>
      </w:pPr>
      <w:r>
        <w:t>2. Endereço oficial do programa</w:t>
      </w:r>
    </w:p>
    <w:p>
      <w:r>
        <w:rPr>
          <w:rFonts w:ascii="Calibri" w:hAnsi="Calibri"/>
          <w:b/>
          <w:i w:val="0"/>
          <w:color w:val="253A36"/>
          <w:sz w:val="22"/>
        </w:rPr>
        <w:t xml:space="preserve">URL a utilizar no botão do programa: </w:t>
      </w:r>
      <w:r>
        <w:rPr>
          <w:rFonts w:ascii="Calibri" w:hAnsi="Calibri"/>
          <w:b w:val="0"/>
          <w:i w:val="0"/>
          <w:color w:val="416D5C"/>
          <w:sz w:val="22"/>
        </w:rPr>
        <w:t>https://viver-bem-diabetes-insulina.camimelomatos0.chatgpt.site</w:t>
      </w:r>
    </w:p>
    <w:p>
      <w:pPr>
        <w:pStyle w:val="Heading1"/>
      </w:pPr>
      <w:r>
        <w:t>3. Alterações já implementadas</w:t>
      </w:r>
    </w:p>
    <w:p>
      <w:pPr>
        <w:pStyle w:val="ListBullet"/>
      </w:pPr>
      <w:r>
        <w:t>Entrada separada para Paciente e Área médica.</w:t>
      </w:r>
    </w:p>
    <w:p>
      <w:pPr>
        <w:pStyle w:val="ListBullet"/>
      </w:pPr>
      <w:r>
        <w:t>Conta médica vinculada ao perfil profissional e acesso aos registros dos pacientes.</w:t>
      </w:r>
    </w:p>
    <w:p>
      <w:pPr>
        <w:pStyle w:val="ListBullet"/>
      </w:pPr>
      <w:r>
        <w:t>Cadastro seguro de paciente com nome completo, CPF, e-mail de contato e senha provisória.</w:t>
      </w:r>
    </w:p>
    <w:p>
      <w:pPr>
        <w:pStyle w:val="ListBullet"/>
      </w:pPr>
      <w:r>
        <w:t>Busca de pacientes por nome ou final do CPF.</w:t>
      </w:r>
    </w:p>
    <w:p>
      <w:pPr>
        <w:pStyle w:val="ListBullet"/>
      </w:pPr>
      <w:r>
        <w:t>Tabela de controle glicêmico com data, momento, glicemia, classificação, insulina e observações.</w:t>
      </w:r>
    </w:p>
    <w:p>
      <w:pPr>
        <w:pStyle w:val="ListBullet"/>
      </w:pPr>
      <w:r>
        <w:t>Formulário para registrar glicemia, insulina, refeição e sintomas.</w:t>
      </w:r>
    </w:p>
    <w:p>
      <w:pPr>
        <w:pStyle w:val="ListBullet"/>
      </w:pPr>
      <w:r>
        <w:t>Caderno de insulina e diário de sintomas funcionais.</w:t>
      </w:r>
    </w:p>
    <w:p>
      <w:pPr>
        <w:pStyle w:val="ListBullet"/>
      </w:pPr>
      <w:r>
        <w:t>Relatório resumido com opção de impressão.</w:t>
      </w:r>
    </w:p>
    <w:p>
      <w:pPr>
        <w:pStyle w:val="ListBullet"/>
      </w:pPr>
      <w:r>
        <w:t>Campo de e-mail profissional desbloqueado para digitação.</w:t>
      </w:r>
    </w:p>
    <w:p>
      <w:pPr>
        <w:pStyle w:val="ListBullet"/>
      </w:pPr>
      <w:r>
        <w:t>Janelas e abas interativas corrigidas para celular e computador.</w:t>
      </w:r>
    </w:p>
    <w:p>
      <w:pPr>
        <w:pStyle w:val="Heading1"/>
      </w:pPr>
      <w:r>
        <w:t>4. Alterações necessárias no portal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DE"/>
          <w:left w:val="single" w:sz="4" w:color="D9E2DE"/>
          <w:bottom w:val="single" w:sz="4" w:color="D9E2DE"/>
          <w:right w:val="single" w:sz="4" w:color="D9E2DE"/>
          <w:insideH w:val="single" w:sz="4" w:color="D9E2DE"/>
          <w:insideV w:val="single" w:sz="4" w:color="D9E2DE"/>
        </w:tblBorders>
      </w:tblPr>
      <w:tblGrid>
        <w:gridCol w:w="1944"/>
        <w:gridCol w:w="3096"/>
        <w:gridCol w:w="4320"/>
      </w:tblGrid>
      <w:tr>
        <w:tc>
          <w:tcPr>
            <w:tcW w:type="dxa" w:w="1944"/>
            <w:shd w:fill="EA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416D5C"/>
                <w:sz w:val="20"/>
              </w:rPr>
              <w:t>Item</w:t>
            </w:r>
          </w:p>
        </w:tc>
        <w:tc>
          <w:tcPr>
            <w:tcW w:type="dxa" w:w="3096"/>
            <w:shd w:fill="EA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416D5C"/>
                <w:sz w:val="20"/>
              </w:rPr>
              <w:t>Ação</w:t>
            </w:r>
          </w:p>
        </w:tc>
        <w:tc>
          <w:tcPr>
            <w:tcW w:type="dxa" w:w="4320"/>
            <w:shd w:fill="EA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416D5C"/>
                <w:sz w:val="20"/>
              </w:rPr>
              <w:t>Resultado esperado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53A36"/>
                <w:sz w:val="19"/>
              </w:rPr>
              <w:t>Programa Diabetes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3A36"/>
                <w:sz w:val="19"/>
              </w:rPr>
              <w:t>Alterar o link do botão/card para a URL oficial acima.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3A36"/>
                <w:sz w:val="19"/>
              </w:rPr>
              <w:t>O programa abre em nova página sem erro.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53A36"/>
                <w:sz w:val="19"/>
              </w:rPr>
              <w:t>Área médica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3A36"/>
                <w:sz w:val="19"/>
              </w:rPr>
              <w:t>Manter o acesso profissional dentro do programa individual.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3A36"/>
                <w:sz w:val="19"/>
              </w:rPr>
              <w:t>A médica cadastra e procura pacientes.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53A36"/>
                <w:sz w:val="19"/>
              </w:rPr>
              <w:t>Área do paciente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3A36"/>
                <w:sz w:val="19"/>
              </w:rPr>
              <w:t>Manter entrada por CPF ou e-mail e senha pessoal.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3A36"/>
                <w:sz w:val="19"/>
              </w:rPr>
              <w:t>Cada paciente visualiza somente seus dados.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53A36"/>
                <w:sz w:val="19"/>
              </w:rPr>
              <w:t>Publicação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3A36"/>
                <w:sz w:val="19"/>
              </w:rPr>
              <w:t>Executar nova implantação na Netlify após atualizar o repositório.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3A36"/>
                <w:sz w:val="19"/>
              </w:rPr>
              <w:t>Portal principal apresenta a versão atualizada.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53A36"/>
                <w:sz w:val="19"/>
              </w:rPr>
              <w:t>Validação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3A36"/>
                <w:sz w:val="19"/>
              </w:rPr>
              <w:t>Testar em computador e celular, preferencialmente em janela anônima.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3A36"/>
                <w:sz w:val="19"/>
              </w:rPr>
              <w:t>Botões, janelas e formulários funcionam sem cache antigo.</w:t>
            </w:r>
          </w:p>
        </w:tc>
      </w:tr>
    </w:tbl>
    <w:p>
      <w:pPr>
        <w:pStyle w:val="Heading1"/>
      </w:pPr>
      <w:r>
        <w:t>5. Checklist de validação após a publicação</w:t>
      </w:r>
    </w:p>
    <w:p>
      <w:pPr>
        <w:spacing w:after="80"/>
        <w:ind w:left="403" w:hanging="403"/>
      </w:pPr>
      <w:r>
        <w:rPr>
          <w:rFonts w:ascii="Calibri" w:hAnsi="Calibri"/>
          <w:b w:val="0"/>
          <w:i w:val="0"/>
          <w:color w:val="416D5C"/>
          <w:sz w:val="22"/>
        </w:rPr>
        <w:t xml:space="preserve">☐  </w:t>
      </w:r>
      <w:r>
        <w:rPr>
          <w:rFonts w:ascii="Calibri" w:hAnsi="Calibri"/>
          <w:b w:val="0"/>
          <w:i w:val="0"/>
          <w:color w:val="253A36"/>
          <w:sz w:val="22"/>
        </w:rPr>
        <w:t>O card “Viver Bem com Diabetes” abre o endereço correto.</w:t>
      </w:r>
    </w:p>
    <w:p>
      <w:pPr>
        <w:spacing w:after="80"/>
        <w:ind w:left="403" w:hanging="403"/>
      </w:pPr>
      <w:r>
        <w:rPr>
          <w:rFonts w:ascii="Calibri" w:hAnsi="Calibri"/>
          <w:b w:val="0"/>
          <w:i w:val="0"/>
          <w:color w:val="416D5C"/>
          <w:sz w:val="22"/>
        </w:rPr>
        <w:t xml:space="preserve">☐  </w:t>
      </w:r>
      <w:r>
        <w:rPr>
          <w:rFonts w:ascii="Calibri" w:hAnsi="Calibri"/>
          <w:b w:val="0"/>
          <w:i w:val="0"/>
          <w:color w:val="253A36"/>
          <w:sz w:val="22"/>
        </w:rPr>
        <w:t>A aba “Área médica” permite digitar o e-mail e a senha.</w:t>
      </w:r>
    </w:p>
    <w:p>
      <w:pPr>
        <w:spacing w:after="80"/>
        <w:ind w:left="403" w:hanging="403"/>
      </w:pPr>
      <w:r>
        <w:rPr>
          <w:rFonts w:ascii="Calibri" w:hAnsi="Calibri"/>
          <w:b w:val="0"/>
          <w:i w:val="0"/>
          <w:color w:val="416D5C"/>
          <w:sz w:val="22"/>
        </w:rPr>
        <w:t xml:space="preserve">☐  </w:t>
      </w:r>
      <w:r>
        <w:rPr>
          <w:rFonts w:ascii="Calibri" w:hAnsi="Calibri"/>
          <w:b w:val="0"/>
          <w:i w:val="0"/>
          <w:color w:val="253A36"/>
          <w:sz w:val="22"/>
        </w:rPr>
        <w:t>O botão “Cadastrar paciente” abre o formulário.</w:t>
      </w:r>
    </w:p>
    <w:p>
      <w:pPr>
        <w:spacing w:after="80"/>
        <w:ind w:left="403" w:hanging="403"/>
      </w:pPr>
      <w:r>
        <w:rPr>
          <w:rFonts w:ascii="Calibri" w:hAnsi="Calibri"/>
          <w:b w:val="0"/>
          <w:i w:val="0"/>
          <w:color w:val="416D5C"/>
          <w:sz w:val="22"/>
        </w:rPr>
        <w:t xml:space="preserve">☐  </w:t>
      </w:r>
      <w:r>
        <w:rPr>
          <w:rFonts w:ascii="Calibri" w:hAnsi="Calibri"/>
          <w:b w:val="0"/>
          <w:i w:val="0"/>
          <w:color w:val="253A36"/>
          <w:sz w:val="22"/>
        </w:rPr>
        <w:t>O paciente consegue entrar com CPF e senha provisória.</w:t>
      </w:r>
    </w:p>
    <w:p>
      <w:pPr>
        <w:spacing w:after="80"/>
        <w:ind w:left="403" w:hanging="403"/>
      </w:pPr>
      <w:r>
        <w:rPr>
          <w:rFonts w:ascii="Calibri" w:hAnsi="Calibri"/>
          <w:b w:val="0"/>
          <w:i w:val="0"/>
          <w:color w:val="416D5C"/>
          <w:sz w:val="22"/>
        </w:rPr>
        <w:t xml:space="preserve">☐  </w:t>
      </w:r>
      <w:r>
        <w:rPr>
          <w:rFonts w:ascii="Calibri" w:hAnsi="Calibri"/>
          <w:b w:val="0"/>
          <w:i w:val="0"/>
          <w:color w:val="253A36"/>
          <w:sz w:val="22"/>
        </w:rPr>
        <w:t>O botão “Registrar glicemia” abre e salva o registro.</w:t>
      </w:r>
    </w:p>
    <w:p>
      <w:pPr>
        <w:spacing w:after="80"/>
        <w:ind w:left="403" w:hanging="403"/>
      </w:pPr>
      <w:r>
        <w:rPr>
          <w:rFonts w:ascii="Calibri" w:hAnsi="Calibri"/>
          <w:b w:val="0"/>
          <w:i w:val="0"/>
          <w:color w:val="416D5C"/>
          <w:sz w:val="22"/>
        </w:rPr>
        <w:t xml:space="preserve">☐  </w:t>
      </w:r>
      <w:r>
        <w:rPr>
          <w:rFonts w:ascii="Calibri" w:hAnsi="Calibri"/>
          <w:b w:val="0"/>
          <w:i w:val="0"/>
          <w:color w:val="253A36"/>
          <w:sz w:val="22"/>
        </w:rPr>
        <w:t>As abas Controle glicêmico, Insulina, Sintomas e Relatório respondem ao clique.</w:t>
      </w:r>
    </w:p>
    <w:p>
      <w:pPr>
        <w:spacing w:after="80"/>
        <w:ind w:left="403" w:hanging="403"/>
      </w:pPr>
      <w:r>
        <w:rPr>
          <w:rFonts w:ascii="Calibri" w:hAnsi="Calibri"/>
          <w:b w:val="0"/>
          <w:i w:val="0"/>
          <w:color w:val="416D5C"/>
          <w:sz w:val="22"/>
        </w:rPr>
        <w:t xml:space="preserve">☐  </w:t>
      </w:r>
      <w:r>
        <w:rPr>
          <w:rFonts w:ascii="Calibri" w:hAnsi="Calibri"/>
          <w:b w:val="0"/>
          <w:i w:val="0"/>
          <w:color w:val="253A36"/>
          <w:sz w:val="22"/>
        </w:rPr>
        <w:t>A busca localiza paciente por nome ou final do CPF.</w:t>
      </w:r>
    </w:p>
    <w:p>
      <w:pPr>
        <w:spacing w:after="80"/>
        <w:ind w:left="403" w:hanging="403"/>
      </w:pPr>
      <w:r>
        <w:rPr>
          <w:rFonts w:ascii="Calibri" w:hAnsi="Calibri"/>
          <w:b w:val="0"/>
          <w:i w:val="0"/>
          <w:color w:val="416D5C"/>
          <w:sz w:val="22"/>
        </w:rPr>
        <w:t xml:space="preserve">☐  </w:t>
      </w:r>
      <w:r>
        <w:rPr>
          <w:rFonts w:ascii="Calibri" w:hAnsi="Calibri"/>
          <w:b w:val="0"/>
          <w:i w:val="0"/>
          <w:color w:val="253A36"/>
          <w:sz w:val="22"/>
        </w:rPr>
        <w:t>O site funciona no celular sem janelas cortadas.</w:t>
      </w:r>
    </w:p>
    <w:p>
      <w:pPr>
        <w:pStyle w:val="Heading1"/>
      </w:pPr>
      <w:r>
        <w:t>6. Observações de segurança</w:t>
      </w:r>
    </w:p>
    <w:p>
      <w:r>
        <w:t>Não inserir chaves administrativas, senhas médicas ou dados clínicos no código público do GitHub. O site deve manter apenas a chave pública do cliente; criação de usuários e operações administrativas permanecem no ambiente seguro do servidor. Recomenda-se trocar senhas provisórias no primeiro acesso.</w:t>
      </w:r>
    </w:p>
    <w:p>
      <w:pPr>
        <w:pStyle w:val="Heading1"/>
      </w:pPr>
      <w:r>
        <w:t>7. Pendência para conclusão do portal principal</w:t>
      </w:r>
    </w:p>
    <w:p>
      <w:r>
        <w:t>Para atualizar automaticamente o site da Netlify, o repositório GitHub precisa estar acessível ao aplicativo autorizado ou ser enviado em arquivo ZIP. Quando o acesso estiver disponível, deve-se alterar o link do programa, validar a compilação e publicar a nova versão.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4847F"/>
        <w:sz w:val="18"/>
      </w:rPr>
      <w:t>Documento técnico de entrega • 12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74847F"/>
        <w:sz w:val="18"/>
      </w:rPr>
      <w:t>Dra. Camila de Melo Matos | Atualização do portal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53A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416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16D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53A3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