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DF7FA9">
        <w:t xml:space="preserve"> </w:t>
      </w:r>
      <w:r w:rsidRPr="00DF7FA9">
        <w:rPr>
          <w:sz w:val="20"/>
          <w:szCs w:val="20"/>
        </w:rPr>
        <w:t xml:space="preserve">Conceptos </w:t>
      </w:r>
      <w:proofErr w:type="spellStart"/>
      <w:r w:rsidRPr="00DF7FA9">
        <w:rPr>
          <w:sz w:val="20"/>
          <w:szCs w:val="20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1.4. Tipo por referencia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 xml:space="preserve">Convierten al parámetro formal en un alias parara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D3504C">
        <w:rPr>
          <w:sz w:val="20"/>
          <w:szCs w:val="20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proofErr w:type="gram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spellStart"/>
      <w:proofErr w:type="gramEnd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 xml:space="preserve"> 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</w:t>
      </w:r>
      <w:proofErr w:type="gramStart"/>
      <w:r w:rsidRPr="00E17741">
        <w:rPr>
          <w:sz w:val="20"/>
          <w:szCs w:val="20"/>
        </w:rPr>
        <w:t xml:space="preserve"> 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</w:t>
      </w:r>
      <w:proofErr w:type="gramStart"/>
      <w:r w:rsidRPr="00E17741">
        <w:rPr>
          <w:sz w:val="20"/>
          <w:szCs w:val="20"/>
        </w:rPr>
        <w:t xml:space="preserve"> 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4E3550" w:rsidRDefault="004E3550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 xml:space="preserve">{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.propiedad</w:t>
      </w:r>
      <w:proofErr w:type="spell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r w:rsidRPr="00B67C4A">
        <w:rPr>
          <w:sz w:val="20"/>
          <w:szCs w:val="20"/>
        </w:rPr>
        <w:t>namespace</w:t>
      </w:r>
      <w:proofErr w:type="spell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lastRenderedPageBreak/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r w:rsidRPr="000D77C2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2731E0" w:rsidRDefault="002731E0" w:rsidP="00E17741">
      <w:pPr>
        <w:spacing w:after="0"/>
        <w:rPr>
          <w:sz w:val="20"/>
          <w:szCs w:val="20"/>
        </w:rPr>
      </w:pPr>
      <w:r w:rsidRPr="002731E0">
        <w:rPr>
          <w:b/>
          <w:sz w:val="20"/>
          <w:szCs w:val="20"/>
        </w:rPr>
        <w:t>Abstracción</w:t>
      </w:r>
      <w:r>
        <w:rPr>
          <w:sz w:val="20"/>
          <w:szCs w:val="20"/>
        </w:rPr>
        <w:t>:</w:t>
      </w:r>
    </w:p>
    <w:p w:rsidR="002731E0" w:rsidRDefault="002731E0" w:rsidP="00E17741">
      <w:pPr>
        <w:spacing w:after="0"/>
        <w:rPr>
          <w:sz w:val="20"/>
          <w:szCs w:val="20"/>
        </w:rPr>
      </w:pPr>
    </w:p>
    <w:p w:rsidR="00BD03AF" w:rsidRDefault="00BD03AF" w:rsidP="00E17741">
      <w:pPr>
        <w:spacing w:after="0"/>
        <w:rPr>
          <w:sz w:val="20"/>
          <w:szCs w:val="20"/>
        </w:rPr>
      </w:pPr>
      <w:r w:rsidRPr="00BD03AF">
        <w:rPr>
          <w:b/>
          <w:sz w:val="20"/>
          <w:szCs w:val="20"/>
        </w:rPr>
        <w:t>Herencia</w:t>
      </w:r>
      <w:r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r w:rsidRPr="00BD03AF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Clase</w:t>
      </w:r>
      <w:proofErr w:type="gramStart"/>
      <w:r w:rsidRPr="00BD03AF">
        <w:rPr>
          <w:i/>
          <w:sz w:val="20"/>
          <w:szCs w:val="20"/>
        </w:rPr>
        <w:t>2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Clase1</w:t>
      </w:r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BD03AF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 de la clase padre/base.</w:t>
      </w:r>
      <w:r w:rsidR="00E2424F">
        <w:rPr>
          <w:sz w:val="20"/>
          <w:szCs w:val="20"/>
        </w:rPr>
        <w:t xml:space="preserve"> Jerarquía de clases.</w:t>
      </w:r>
    </w:p>
    <w:p w:rsidR="00BD03AF" w:rsidRDefault="00BD03AF" w:rsidP="00E17741">
      <w:pPr>
        <w:spacing w:after="0"/>
        <w:rPr>
          <w:sz w:val="20"/>
          <w:szCs w:val="20"/>
        </w:rPr>
      </w:pPr>
    </w:p>
    <w:p w:rsidR="00BD03AF" w:rsidRDefault="00BD03AF" w:rsidP="00E17741">
      <w:pPr>
        <w:spacing w:after="0"/>
        <w:rPr>
          <w:sz w:val="20"/>
          <w:szCs w:val="20"/>
        </w:rPr>
      </w:pPr>
      <w:r w:rsidRPr="00BD03AF">
        <w:rPr>
          <w:b/>
          <w:sz w:val="20"/>
          <w:szCs w:val="20"/>
        </w:rPr>
        <w:t>Encapsulamiento</w:t>
      </w:r>
      <w:r>
        <w:rPr>
          <w:sz w:val="20"/>
          <w:szCs w:val="20"/>
        </w:rPr>
        <w:t>:</w:t>
      </w:r>
    </w:p>
    <w:p w:rsidR="00BD03AF" w:rsidRDefault="00BD03AF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modificadores 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gettes+setters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ctrl+r+e</w:t>
      </w:r>
      <w:proofErr w:type="spellEnd"/>
      <w:r>
        <w:rPr>
          <w:sz w:val="20"/>
          <w:szCs w:val="20"/>
        </w:rPr>
        <w:t xml:space="preserve">)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665CC4" w:rsidRDefault="00665CC4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SetProp</w:t>
      </w:r>
      <w:proofErr w:type="spellEnd"/>
      <w:r>
        <w:rPr>
          <w:sz w:val="20"/>
          <w:szCs w:val="20"/>
        </w:rPr>
        <w:t xml:space="preserve"> (tipo valor)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prop</w:t>
      </w:r>
      <w:proofErr w:type="spellEnd"/>
      <w:proofErr w:type="gramEnd"/>
      <w:r>
        <w:rPr>
          <w:sz w:val="20"/>
          <w:szCs w:val="20"/>
        </w:rPr>
        <w:t xml:space="preserve"> = valor; }</w:t>
      </w:r>
    </w:p>
    <w:p w:rsidR="00665CC4" w:rsidRPr="00665CC4" w:rsidRDefault="00665CC4" w:rsidP="00E17741">
      <w:pPr>
        <w:spacing w:after="0"/>
        <w:rPr>
          <w:sz w:val="20"/>
          <w:szCs w:val="20"/>
          <w:lang w:val="en-US"/>
        </w:rPr>
      </w:pPr>
      <w:r w:rsidRPr="00665CC4">
        <w:rPr>
          <w:sz w:val="20"/>
          <w:szCs w:val="20"/>
          <w:lang w:val="en-US"/>
        </w:rPr>
        <w:t xml:space="preserve">public </w:t>
      </w:r>
      <w:proofErr w:type="spellStart"/>
      <w:r w:rsidRPr="00665CC4">
        <w:rPr>
          <w:sz w:val="20"/>
          <w:szCs w:val="20"/>
          <w:lang w:val="en-US"/>
        </w:rPr>
        <w:t>tipoProp</w:t>
      </w:r>
      <w:proofErr w:type="spellEnd"/>
      <w:r w:rsidRPr="00665CC4">
        <w:rPr>
          <w:sz w:val="20"/>
          <w:szCs w:val="20"/>
          <w:lang w:val="en-US"/>
        </w:rPr>
        <w:t xml:space="preserve"> </w:t>
      </w:r>
      <w:proofErr w:type="spellStart"/>
      <w:r w:rsidRPr="00665CC4">
        <w:rPr>
          <w:sz w:val="20"/>
          <w:szCs w:val="20"/>
          <w:lang w:val="en-US"/>
        </w:rPr>
        <w:t>GetProp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 w:rsidRPr="00665CC4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 </w:t>
      </w:r>
      <w:r w:rsidRPr="00665CC4">
        <w:rPr>
          <w:sz w:val="20"/>
          <w:szCs w:val="20"/>
          <w:lang w:val="en-US"/>
        </w:rPr>
        <w:t>)</w:t>
      </w:r>
      <w:proofErr w:type="gramEnd"/>
      <w:r w:rsidRPr="00665CC4">
        <w:rPr>
          <w:sz w:val="20"/>
          <w:szCs w:val="20"/>
          <w:lang w:val="en-US"/>
        </w:rPr>
        <w:t xml:space="preserve"> { return </w:t>
      </w:r>
      <w:proofErr w:type="spellStart"/>
      <w:r w:rsidRPr="00665CC4">
        <w:rPr>
          <w:sz w:val="20"/>
          <w:szCs w:val="20"/>
          <w:lang w:val="en-US"/>
        </w:rPr>
        <w:t>this.prop</w:t>
      </w:r>
      <w:proofErr w:type="spellEnd"/>
      <w:r w:rsidRPr="00665CC4">
        <w:rPr>
          <w:sz w:val="20"/>
          <w:szCs w:val="20"/>
          <w:lang w:val="en-US"/>
        </w:rPr>
        <w:t>; }</w:t>
      </w:r>
    </w:p>
    <w:p w:rsidR="000D77C2" w:rsidRPr="00665CC4" w:rsidRDefault="000D77C2" w:rsidP="00E17741">
      <w:pPr>
        <w:spacing w:after="0"/>
        <w:rPr>
          <w:sz w:val="20"/>
          <w:szCs w:val="20"/>
          <w:lang w:val="en-US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 w:rsidRPr="000D77C2">
        <w:rPr>
          <w:b/>
          <w:sz w:val="20"/>
          <w:szCs w:val="20"/>
        </w:rPr>
        <w:t>Polimorfismo</w:t>
      </w:r>
      <w:r>
        <w:rPr>
          <w:sz w:val="20"/>
          <w:szCs w:val="20"/>
        </w:rPr>
        <w:t xml:space="preserve">: 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DF7380" w:rsidRDefault="00BD03A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Atajos:</w:t>
      </w:r>
    </w:p>
    <w:p w:rsidR="00BD03AF" w:rsidRDefault="00BD03AF" w:rsidP="00176252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prop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 &gt; para crear propiedad + </w:t>
      </w:r>
      <w:proofErr w:type="spellStart"/>
      <w:r>
        <w:rPr>
          <w:sz w:val="20"/>
          <w:szCs w:val="20"/>
        </w:rPr>
        <w:t>accesores</w:t>
      </w:r>
      <w:proofErr w:type="spellEnd"/>
    </w:p>
    <w:p w:rsidR="00BD03AF" w:rsidRDefault="00BD03AF" w:rsidP="00BD03AF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ctrl+r+e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set+get</w:t>
      </w:r>
      <w:proofErr w:type="spellEnd"/>
    </w:p>
    <w:p w:rsidR="00DF7380" w:rsidRDefault="00DF7380" w:rsidP="00176252">
      <w:pPr>
        <w:spacing w:after="0"/>
        <w:rPr>
          <w:sz w:val="20"/>
          <w:szCs w:val="20"/>
        </w:rPr>
      </w:pPr>
    </w:p>
    <w:p w:rsidR="00B67C4A" w:rsidRDefault="00B67C4A" w:rsidP="00176252">
      <w:pPr>
        <w:spacing w:after="0"/>
        <w:rPr>
          <w:sz w:val="20"/>
          <w:szCs w:val="20"/>
        </w:rPr>
      </w:pPr>
    </w:p>
    <w:p w:rsidR="00DF7FA9" w:rsidRDefault="00720021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2.3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 xml:space="preserve">METODOS </w:t>
      </w:r>
      <w:r w:rsidR="004B16AB">
        <w:rPr>
          <w:sz w:val="20"/>
          <w:szCs w:val="20"/>
        </w:rPr>
        <w:t xml:space="preserve">y PROP </w:t>
      </w:r>
      <w:r w:rsidR="00DF7FA9" w:rsidRPr="00DF7FA9">
        <w:rPr>
          <w:sz w:val="20"/>
          <w:szCs w:val="20"/>
        </w:rPr>
        <w:t>ESTATICOS (DE CLASE)</w:t>
      </w:r>
    </w:p>
    <w:p w:rsidR="00720021" w:rsidRP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 xml:space="preserve">iedad. </w:t>
      </w:r>
      <w:r w:rsidR="00706EDE">
        <w:rPr>
          <w:sz w:val="20"/>
          <w:szCs w:val="20"/>
        </w:rPr>
        <w:t>Son constantes.</w:t>
      </w:r>
    </w:p>
    <w:p w:rsidR="00720021" w:rsidRDefault="00720021" w:rsidP="00720021">
      <w:pPr>
        <w:spacing w:after="0"/>
        <w:rPr>
          <w:sz w:val="20"/>
          <w:szCs w:val="20"/>
        </w:rPr>
      </w:pPr>
    </w:p>
    <w:p w:rsidR="00720021" w:rsidRP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</w:t>
      </w:r>
      <w:r w:rsidR="00706EDE">
        <w:rPr>
          <w:sz w:val="20"/>
          <w:szCs w:val="20"/>
        </w:rPr>
        <w:t>Solo se pueden llamar desde otro</w:t>
      </w:r>
      <w:r w:rsidR="004973BA">
        <w:rPr>
          <w:sz w:val="20"/>
          <w:szCs w:val="20"/>
        </w:rPr>
        <w:t>s</w:t>
      </w:r>
      <w:r w:rsidR="00706EDE">
        <w:rPr>
          <w:sz w:val="20"/>
          <w:szCs w:val="20"/>
        </w:rPr>
        <w:t xml:space="preserve"> métodos estáticos.</w:t>
      </w: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4E3550">
        <w:rPr>
          <w:sz w:val="20"/>
          <w:szCs w:val="20"/>
        </w:rPr>
        <w:t xml:space="preserve">SOBRECARGA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</w:t>
      </w:r>
      <w:proofErr w:type="gramStart"/>
      <w:r w:rsidR="007C39E1" w:rsidRPr="007C39E1">
        <w:rPr>
          <w:sz w:val="20"/>
          <w:szCs w:val="20"/>
        </w:rPr>
        <w:t>ejemplo,  es</w:t>
      </w:r>
      <w:proofErr w:type="gramEnd"/>
      <w:r w:rsidR="007C39E1" w:rsidRPr="007C39E1">
        <w:rPr>
          <w:sz w:val="20"/>
          <w:szCs w:val="20"/>
        </w:rPr>
        <w:t xml:space="preserve">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 xml:space="preserve">, ?:,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BE7FFD">
        <w:rPr>
          <w:sz w:val="20"/>
          <w:szCs w:val="20"/>
          <w:highlight w:val="yellow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  <w:bookmarkStart w:id="0" w:name="_GoBack"/>
      <w:bookmarkEnd w:id="0"/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E91797" w:rsidRPr="00176252">
        <w:rPr>
          <w:sz w:val="20"/>
          <w:szCs w:val="20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5.1. </w:t>
      </w:r>
      <w:proofErr w:type="spellStart"/>
      <w:r w:rsidRPr="00DF7FA9">
        <w:rPr>
          <w:sz w:val="20"/>
          <w:szCs w:val="20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r>
        <w:rPr>
          <w:sz w:val="20"/>
          <w:szCs w:val="20"/>
        </w:rPr>
        <w:t xml:space="preserve">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>: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clase[</w:t>
      </w:r>
      <w:proofErr w:type="gramEnd"/>
      <w:r>
        <w:rPr>
          <w:sz w:val="20"/>
          <w:szCs w:val="20"/>
        </w:rPr>
        <w:t xml:space="preserve">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5.2</w:t>
      </w:r>
      <w:r w:rsidR="00BE0927">
        <w:rPr>
          <w:sz w:val="20"/>
          <w:szCs w:val="20"/>
        </w:rPr>
        <w:t xml:space="preserve">. </w:t>
      </w:r>
      <w:r w:rsidR="00BE0927" w:rsidRPr="00BE7FFD">
        <w:rPr>
          <w:sz w:val="20"/>
          <w:szCs w:val="20"/>
          <w:highlight w:val="yellow"/>
        </w:rPr>
        <w:t>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6. Cole</w:t>
      </w:r>
      <w:r w:rsidR="00E91797" w:rsidRPr="00DF7FA9">
        <w:rPr>
          <w:sz w:val="20"/>
          <w:szCs w:val="20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6.1. Genéricas</w:t>
      </w: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Pr="0050073D">
        <w:rPr>
          <w:sz w:val="20"/>
          <w:szCs w:val="20"/>
        </w:rPr>
        <w:t>System.Collections.Generic</w:t>
      </w:r>
      <w:proofErr w:type="spellEnd"/>
      <w:proofErr w:type="gram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</w:p>
    <w:p w:rsidR="0050073D" w:rsidRP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 xml:space="preserve">Representa una lista de objetos que pueden ser obtenidos mediante un </w:t>
      </w:r>
      <w:proofErr w:type="spellStart"/>
      <w:proofErr w:type="gramStart"/>
      <w:r w:rsidRPr="0050073D">
        <w:rPr>
          <w:sz w:val="20"/>
          <w:szCs w:val="20"/>
        </w:rPr>
        <w:t>índice.Proporciona</w:t>
      </w:r>
      <w:proofErr w:type="spellEnd"/>
      <w:proofErr w:type="gramEnd"/>
      <w:r w:rsidRPr="0050073D">
        <w:rPr>
          <w:sz w:val="20"/>
          <w:szCs w:val="20"/>
        </w:rPr>
        <w:t xml:space="preserve">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 entrar, primero en salir (FIFO).</w:t>
      </w:r>
    </w:p>
    <w:p w:rsidR="005C0E54" w:rsidRPr="005C0E54" w:rsidRDefault="005C0E54" w:rsidP="005C0E54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5C0E54" w:rsidRDefault="005C0E54" w:rsidP="005C0E54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 entrar, primero en salir (LIFO).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D47FD3" w:rsidRDefault="00D47FD3" w:rsidP="00D47FD3">
      <w:pPr>
        <w:spacing w:after="0"/>
        <w:rPr>
          <w:sz w:val="20"/>
          <w:szCs w:val="20"/>
        </w:rPr>
      </w:pPr>
      <w:proofErr w:type="spellStart"/>
      <w:r w:rsidRPr="00D47FD3">
        <w:rPr>
          <w:sz w:val="20"/>
          <w:szCs w:val="20"/>
        </w:rPr>
        <w:t>List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 w:rsidRPr="00D47FD3">
        <w:rPr>
          <w:sz w:val="20"/>
          <w:szCs w:val="20"/>
        </w:rPr>
        <w:t>List</w:t>
      </w:r>
      <w:proofErr w:type="spellEnd"/>
      <w:r w:rsidRPr="00D47FD3">
        <w:rPr>
          <w:sz w:val="20"/>
          <w:szCs w:val="20"/>
        </w:rPr>
        <w:t xml:space="preserve">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D47FD3" w:rsidRPr="00D47FD3" w:rsidRDefault="00D47FD3" w:rsidP="00D47FD3">
      <w:pPr>
        <w:spacing w:after="0"/>
        <w:rPr>
          <w:sz w:val="20"/>
          <w:szCs w:val="20"/>
        </w:rPr>
      </w:pPr>
      <w:proofErr w:type="spellStart"/>
      <w:r w:rsidRPr="00D47FD3">
        <w:rPr>
          <w:sz w:val="20"/>
          <w:szCs w:val="20"/>
        </w:rPr>
        <w:t>List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 w:rsidRPr="00D47FD3">
        <w:rPr>
          <w:sz w:val="20"/>
          <w:szCs w:val="20"/>
        </w:rPr>
        <w:t>List</w:t>
      </w:r>
      <w:proofErr w:type="spellEnd"/>
      <w:r w:rsidRPr="00D47FD3">
        <w:rPr>
          <w:sz w:val="20"/>
          <w:szCs w:val="20"/>
        </w:rPr>
        <w:t xml:space="preserve">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 { valor1</w:t>
      </w:r>
      <w:r w:rsidRPr="00D47FD3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valorN</w:t>
      </w:r>
      <w:proofErr w:type="spellEnd"/>
      <w:r w:rsidRPr="00D47FD3">
        <w:rPr>
          <w:sz w:val="20"/>
          <w:szCs w:val="20"/>
        </w:rPr>
        <w:t xml:space="preserve"> };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6.2. No genéricas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D47FD3" w:rsidRDefault="00D47FD3" w:rsidP="00873C06">
      <w:pPr>
        <w:spacing w:after="0"/>
        <w:rPr>
          <w:sz w:val="20"/>
          <w:szCs w:val="20"/>
        </w:rPr>
      </w:pPr>
    </w:p>
    <w:p w:rsidR="00D47FD3" w:rsidRPr="008C53C9" w:rsidRDefault="00D47FD3" w:rsidP="00D47FD3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Queue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 w:rsidRPr="008C53C9">
        <w:rPr>
          <w:sz w:val="20"/>
          <w:szCs w:val="20"/>
        </w:rPr>
        <w:t>Queue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D47FD3" w:rsidRPr="008C53C9" w:rsidRDefault="00D47FD3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Stack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 w:rsidRPr="008C53C9">
        <w:rPr>
          <w:sz w:val="20"/>
          <w:szCs w:val="20"/>
        </w:rPr>
        <w:t>Stack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D47FD3" w:rsidRPr="008C53C9" w:rsidRDefault="00D47FD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8C53C9">
        <w:rPr>
          <w:sz w:val="20"/>
          <w:szCs w:val="20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proofErr w:type="gramStart"/>
      <w:r w:rsidRPr="008C53C9">
        <w:rPr>
          <w:sz w:val="20"/>
          <w:szCs w:val="20"/>
        </w:rPr>
        <w:t>System.Collections.Concurrent</w:t>
      </w:r>
      <w:proofErr w:type="spellEnd"/>
      <w:proofErr w:type="gram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proofErr w:type="gramStart"/>
      <w:r w:rsidRPr="003B21D4">
        <w:rPr>
          <w:sz w:val="20"/>
          <w:szCs w:val="20"/>
        </w:rPr>
        <w:t>System.Collections.Generic</w:t>
      </w:r>
      <w:proofErr w:type="spellEnd"/>
      <w:proofErr w:type="gram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>, T</w:t>
      </w:r>
      <w:r>
        <w:rPr>
          <w:sz w:val="20"/>
          <w:szCs w:val="20"/>
          <w:lang w:val="en-US"/>
        </w:rPr>
        <w:t xml:space="preserve">Value&gt;on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>, TValue&gt;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3B21D4" w:rsidRPr="008C53C9" w:rsidRDefault="003B21D4" w:rsidP="00DF7FA9">
      <w:pPr>
        <w:spacing w:after="0"/>
        <w:rPr>
          <w:sz w:val="20"/>
          <w:szCs w:val="20"/>
        </w:rPr>
      </w:pP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Pr="00D47FD3" w:rsidRDefault="00F136D9" w:rsidP="00DF7FA9">
      <w:pPr>
        <w:spacing w:after="0"/>
        <w:rPr>
          <w:sz w:val="20"/>
          <w:szCs w:val="20"/>
        </w:rPr>
      </w:pPr>
    </w:p>
    <w:p w:rsidR="00D47FD3" w:rsidRPr="00D47FD3" w:rsidRDefault="00D47FD3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DF7FA9">
        <w:rPr>
          <w:sz w:val="20"/>
          <w:szCs w:val="20"/>
        </w:rPr>
        <w:t>ENCAPSULAMIENTO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DF7FA9">
        <w:rPr>
          <w:sz w:val="20"/>
          <w:szCs w:val="20"/>
        </w:rPr>
        <w:t>HERENCIA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Pr="00DF7FA9">
        <w:rPr>
          <w:sz w:val="20"/>
          <w:szCs w:val="20"/>
        </w:rPr>
        <w:t>SOBRECARGA DE MÉTODOS, POLIMORFISMO, ABSTRACT y VIRTUAL</w:t>
      </w:r>
    </w:p>
    <w:p w:rsidR="00EF57D7" w:rsidRDefault="00EF57D7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Pr="00DF7FA9">
        <w:rPr>
          <w:sz w:val="20"/>
          <w:szCs w:val="20"/>
        </w:rPr>
        <w:t>Excepciones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Pr="00DF7FA9">
        <w:rPr>
          <w:sz w:val="20"/>
          <w:szCs w:val="20"/>
        </w:rPr>
        <w:t>TEST UNITARIOS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11.</w:t>
      </w:r>
      <w:r w:rsidRPr="00DF7FA9">
        <w:t xml:space="preserve"> </w:t>
      </w:r>
      <w:r w:rsidRPr="00DF7FA9">
        <w:rPr>
          <w:sz w:val="20"/>
          <w:szCs w:val="20"/>
        </w:rPr>
        <w:t>GENERICS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Pr="00DF7FA9">
        <w:rPr>
          <w:sz w:val="20"/>
          <w:szCs w:val="20"/>
        </w:rPr>
        <w:t>INTERFACES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DF7FA9">
        <w:rPr>
          <w:sz w:val="20"/>
          <w:szCs w:val="20"/>
        </w:rPr>
        <w:t>ARCHIVOS DE TEXTO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DF35F8">
        <w:tc>
          <w:tcPr>
            <w:tcW w:w="2615" w:type="dxa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</w:tcPr>
          <w:p w:rsidR="00263D2D" w:rsidRDefault="00811A27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263D2D" w:rsidRDefault="00263D2D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</w:tcPr>
          <w:p w:rsidR="00DF35F8" w:rsidRPr="00DF35F8" w:rsidRDefault="00706EDE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4973B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614" w:type="dxa"/>
          </w:tcPr>
          <w:p w:rsidR="00DF35F8" w:rsidRPr="00DF35F8" w:rsidRDefault="00873C0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</w:p>
        </w:tc>
        <w:tc>
          <w:tcPr>
            <w:tcW w:w="2614" w:type="dxa"/>
          </w:tcPr>
          <w:p w:rsidR="00DF35F8" w:rsidRPr="00DF35F8" w:rsidRDefault="00E546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</w:tcPr>
          <w:p w:rsidR="00DF35F8" w:rsidRPr="00DF35F8" w:rsidRDefault="00E95F3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207DB" w:rsidTr="00DF35F8">
        <w:tc>
          <w:tcPr>
            <w:tcW w:w="2615" w:type="dxa"/>
          </w:tcPr>
          <w:p w:rsidR="002207DB" w:rsidRPr="00DF35F8" w:rsidRDefault="002207DB" w:rsidP="00DF35F8">
            <w:pPr>
              <w:rPr>
                <w:sz w:val="20"/>
                <w:szCs w:val="20"/>
              </w:rPr>
            </w:pPr>
            <w:proofErr w:type="spellStart"/>
            <w:r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B21D4"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2207DB" w:rsidRDefault="002207DB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6. ENCAPSULAMIENTO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7. HERENCIA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8. SOBRECARGA DE MÉTODOS, POLIMORFISMO, ABSTRACT y VIRTUAL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9. Excepciones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10. TEST UNITARIOS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12. INTERFACES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13. ARCHIVOS DE TEXTO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14. SERIALIZACIÓN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15. BASE DE DATOS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16. THREADS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17. EVENTOS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18. MÉTODOS DE EXTENSIÓN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Imprimir </w:t>
      </w:r>
      <w:proofErr w:type="spellStart"/>
      <w:r>
        <w:rPr>
          <w:sz w:val="20"/>
          <w:szCs w:val="20"/>
        </w:rPr>
        <w:t>ppts</w:t>
      </w:r>
      <w:proofErr w:type="spellEnd"/>
      <w:r>
        <w:rPr>
          <w:sz w:val="20"/>
          <w:szCs w:val="20"/>
        </w:rPr>
        <w:t xml:space="preserve"> 2018 y clase, compararlos</w:t>
      </w: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965EE"/>
    <w:rsid w:val="000C053E"/>
    <w:rsid w:val="000D77C2"/>
    <w:rsid w:val="000E1B8F"/>
    <w:rsid w:val="00176252"/>
    <w:rsid w:val="00176702"/>
    <w:rsid w:val="001A411F"/>
    <w:rsid w:val="001D6D54"/>
    <w:rsid w:val="002207DB"/>
    <w:rsid w:val="00263D2D"/>
    <w:rsid w:val="002731E0"/>
    <w:rsid w:val="00277F11"/>
    <w:rsid w:val="002F57E9"/>
    <w:rsid w:val="00312B86"/>
    <w:rsid w:val="003B21D4"/>
    <w:rsid w:val="00420530"/>
    <w:rsid w:val="00454EE7"/>
    <w:rsid w:val="004973BA"/>
    <w:rsid w:val="004B1594"/>
    <w:rsid w:val="004B16AB"/>
    <w:rsid w:val="004E3550"/>
    <w:rsid w:val="0050073D"/>
    <w:rsid w:val="005213AB"/>
    <w:rsid w:val="00534BDB"/>
    <w:rsid w:val="005A412F"/>
    <w:rsid w:val="005C0E54"/>
    <w:rsid w:val="005C5192"/>
    <w:rsid w:val="005F6963"/>
    <w:rsid w:val="00665CC4"/>
    <w:rsid w:val="00706EDE"/>
    <w:rsid w:val="00720021"/>
    <w:rsid w:val="00794FF3"/>
    <w:rsid w:val="007C39E1"/>
    <w:rsid w:val="007F7E4D"/>
    <w:rsid w:val="00811A27"/>
    <w:rsid w:val="00873C06"/>
    <w:rsid w:val="00876076"/>
    <w:rsid w:val="008C53C9"/>
    <w:rsid w:val="008E54D3"/>
    <w:rsid w:val="00970EA4"/>
    <w:rsid w:val="00995FB1"/>
    <w:rsid w:val="009C1CB1"/>
    <w:rsid w:val="00A629B7"/>
    <w:rsid w:val="00A73163"/>
    <w:rsid w:val="00B3224B"/>
    <w:rsid w:val="00B67C4A"/>
    <w:rsid w:val="00BD03AF"/>
    <w:rsid w:val="00BE0927"/>
    <w:rsid w:val="00BE7FFD"/>
    <w:rsid w:val="00C07160"/>
    <w:rsid w:val="00C80044"/>
    <w:rsid w:val="00D3504C"/>
    <w:rsid w:val="00D47FD3"/>
    <w:rsid w:val="00DF1A5E"/>
    <w:rsid w:val="00DF35F8"/>
    <w:rsid w:val="00DF7380"/>
    <w:rsid w:val="00DF7FA9"/>
    <w:rsid w:val="00E17741"/>
    <w:rsid w:val="00E2424F"/>
    <w:rsid w:val="00E546AC"/>
    <w:rsid w:val="00E91797"/>
    <w:rsid w:val="00E95F31"/>
    <w:rsid w:val="00E9673E"/>
    <w:rsid w:val="00EF57D7"/>
    <w:rsid w:val="00F136D9"/>
    <w:rsid w:val="00F15963"/>
    <w:rsid w:val="00F70466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3E78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7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26</cp:revision>
  <dcterms:created xsi:type="dcterms:W3CDTF">2019-08-28T22:38:00Z</dcterms:created>
  <dcterms:modified xsi:type="dcterms:W3CDTF">2019-09-08T03:57:00Z</dcterms:modified>
</cp:coreProperties>
</file>