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AD6EFD" w14:textId="77777777" w:rsidR="00973B28" w:rsidRDefault="00973B28" w:rsidP="00973B28">
      <w:pPr>
        <w:pStyle w:val="Title"/>
        <w:spacing w:after="0" w:line="480"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Demographic Biases in Naturalistic Language Recordings in the CHILDES Database</w:t>
      </w:r>
    </w:p>
    <w:p w14:paraId="67F4D6B1" w14:textId="77777777" w:rsidR="00973B28" w:rsidRDefault="00973B28">
      <w:pPr>
        <w:spacing w:line="480" w:lineRule="auto"/>
        <w:rPr>
          <w:rFonts w:ascii="Times New Roman" w:eastAsia="Times New Roman" w:hAnsi="Times New Roman" w:cs="Times New Roman"/>
          <w:b/>
          <w:sz w:val="24"/>
          <w:szCs w:val="24"/>
        </w:rPr>
      </w:pPr>
    </w:p>
    <w:p w14:paraId="39178EF8" w14:textId="3FDBA279" w:rsidR="007F49F8"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57D48DF1" w14:textId="77777777" w:rsidR="007F49F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In recent years, the importance of estimating demographic biases in research has become apparent. Here we provide a systematic review of the CHILDES database, the major source of naturalistic recordings of children’s linguistic environment. We analyzed the database according to four dimensions considered central to language learning: SES, urbanization, family structure, and language. We present descriptive statistics of each dimension to assess whether naturalistic recordings were biased regarding the demographics of the countries and the families recorded within them. We find that </w:t>
      </w:r>
      <w:r>
        <w:rPr>
          <w:rFonts w:ascii="Times New Roman" w:eastAsia="Times New Roman" w:hAnsi="Times New Roman" w:cs="Times New Roman"/>
          <w:sz w:val="24"/>
          <w:szCs w:val="24"/>
          <w:highlight w:val="white"/>
        </w:rPr>
        <w:t>CHILDES’s recordings overrepresented wealthier countries and higher parental education levels; urban settings; and smaller households. Middle- and higher-class participants were likewise over-represented. The corpora were not representative of their countries in terms of urbanization either - with a larger percentage of families residing in urban settings than is overall true for their respective countries. In terms of family structure, nuclear families were more prevalent than in the countries where the data was collected. Last, we found that corpora were linguistically diverse, but we estimate that these recordings underrepresent bilingual and multilingual households. We conclude that researchers should be careful when generalizing from naturalistic recordings of children's input and output obtained from CHILDES.</w:t>
      </w:r>
    </w:p>
    <w:p w14:paraId="10564C31"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p>
    <w:p w14:paraId="59B5AE05" w14:textId="77777777" w:rsidR="007F49F8" w:rsidRDefault="007F49F8">
      <w:pPr>
        <w:spacing w:line="480" w:lineRule="auto"/>
        <w:rPr>
          <w:rFonts w:ascii="Times New Roman" w:eastAsia="Times New Roman" w:hAnsi="Times New Roman" w:cs="Times New Roman"/>
          <w:sz w:val="24"/>
          <w:szCs w:val="24"/>
        </w:rPr>
      </w:pPr>
    </w:p>
    <w:p w14:paraId="29E1D4D4" w14:textId="77777777" w:rsidR="007F49F8" w:rsidRDefault="007F49F8">
      <w:pPr>
        <w:spacing w:line="480" w:lineRule="auto"/>
        <w:rPr>
          <w:rFonts w:ascii="Times New Roman" w:eastAsia="Times New Roman" w:hAnsi="Times New Roman" w:cs="Times New Roman"/>
          <w:sz w:val="24"/>
          <w:szCs w:val="24"/>
        </w:rPr>
      </w:pPr>
    </w:p>
    <w:p w14:paraId="53B598B2" w14:textId="77777777" w:rsidR="00B01038" w:rsidRDefault="00B01038">
      <w:pPr>
        <w:spacing w:line="480" w:lineRule="auto"/>
        <w:ind w:firstLine="720"/>
        <w:rPr>
          <w:rFonts w:ascii="Times New Roman" w:eastAsia="Times New Roman" w:hAnsi="Times New Roman" w:cs="Times New Roman"/>
          <w:b/>
          <w:sz w:val="24"/>
          <w:szCs w:val="24"/>
        </w:rPr>
      </w:pPr>
    </w:p>
    <w:p w14:paraId="52AC3954" w14:textId="77777777" w:rsidR="00B01038" w:rsidRDefault="00B01038">
      <w:pPr>
        <w:spacing w:line="480" w:lineRule="auto"/>
        <w:ind w:firstLine="720"/>
        <w:rPr>
          <w:rFonts w:ascii="Times New Roman" w:eastAsia="Times New Roman" w:hAnsi="Times New Roman" w:cs="Times New Roman"/>
          <w:b/>
          <w:sz w:val="24"/>
          <w:szCs w:val="24"/>
        </w:rPr>
      </w:pPr>
    </w:p>
    <w:p w14:paraId="532B845D" w14:textId="77777777" w:rsidR="00B01038" w:rsidRDefault="00B01038">
      <w:pPr>
        <w:spacing w:line="480" w:lineRule="auto"/>
        <w:ind w:firstLine="720"/>
        <w:rPr>
          <w:rFonts w:ascii="Times New Roman" w:eastAsia="Times New Roman" w:hAnsi="Times New Roman" w:cs="Times New Roman"/>
          <w:b/>
          <w:sz w:val="24"/>
          <w:szCs w:val="24"/>
        </w:rPr>
      </w:pPr>
    </w:p>
    <w:p w14:paraId="54FC7705" w14:textId="342038B0" w:rsidR="007F49F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Since its foundation in 1984, CHILDES (the Child Language Data Exchange System, MacWhinney, 2000) has been the major source of naturalistic recordings and transcript data for researchers studying language acquisition. Moreover, it has contributed to establishing seminal work in various domains such as Theory of Mind (Bartsch &amp; Wellman, 1995) and memory (Anderson &amp; Schooler, 1991). It has also inspired theories that help understand the connection between language input and development (Christiansen et al., 1998).  This paper aims to answer the question: Do CHILDES' naturalistic recordings, containing information about both input and output, come from a representative sample of the world's populations? If the answer is no, the generalizability of related findings may be limited, necessitating cautious interpretation.</w:t>
      </w:r>
    </w:p>
    <w:p w14:paraId="746EE6C9" w14:textId="0CD72546"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Researchers in many fields are increasingly aware of the bias towards WEIRD populations (i.e., Western, Educated, Industrial, Rich, Democratic; Henrich 2010) in the samples they study (Cychosz &amp; Cristia, 2022; Nielsen et al., 2017; Moriguchi, 2021; Singh et al., 2023). Recent calls have been made to diversify research in psychology, cognitive, and developmental science to address this issue (Majid &amp; Levinson, </w:t>
      </w:r>
      <w:r w:rsidR="006A37D6">
        <w:rPr>
          <w:rFonts w:ascii="Times New Roman" w:eastAsia="Times New Roman" w:hAnsi="Times New Roman" w:cs="Times New Roman"/>
          <w:sz w:val="24"/>
          <w:szCs w:val="24"/>
        </w:rPr>
        <w:t>2010; Kidd</w:t>
      </w:r>
      <w:r>
        <w:rPr>
          <w:rFonts w:ascii="Times New Roman" w:eastAsia="Times New Roman" w:hAnsi="Times New Roman" w:cs="Times New Roman"/>
          <w:sz w:val="24"/>
          <w:szCs w:val="24"/>
        </w:rPr>
        <w:t xml:space="preserve"> &amp; Garcia, 2022; Blasi et al. 2022). For instance, Kidd and Garcia (2022</w:t>
      </w:r>
      <w:r w:rsidR="006A37D6">
        <w:rPr>
          <w:rFonts w:ascii="Times New Roman" w:eastAsia="Times New Roman" w:hAnsi="Times New Roman" w:cs="Times New Roman"/>
          <w:sz w:val="24"/>
          <w:szCs w:val="24"/>
        </w:rPr>
        <w:t>) systematically</w:t>
      </w:r>
      <w:r>
        <w:rPr>
          <w:rFonts w:ascii="Times New Roman" w:eastAsia="Times New Roman" w:hAnsi="Times New Roman" w:cs="Times New Roman"/>
          <w:sz w:val="24"/>
          <w:szCs w:val="24"/>
        </w:rPr>
        <w:t xml:space="preserve"> reviewed publications from child-language journals. They revealed biases towards specific continents (North America and Europe) and languages (English, Spanish, French), highlighting the need for increased diversity in the populations and languages studied.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 xml:space="preserve">Every area of research conceptualizes different dimensions relevant to explaining variance for a given research topic. In what follows we present the four most relevant dimensions thought to play a role in language acquisition, particularly related to naturalistic recordings: socioeconomic status, urbanization, family structure, and language. </w:t>
      </w:r>
    </w:p>
    <w:p w14:paraId="5D98A368" w14:textId="77777777" w:rsidR="007F49F8" w:rsidRDefault="00000000">
      <w:pPr>
        <w:pStyle w:val="Heading4"/>
        <w:rPr>
          <w:i w:val="0"/>
          <w:color w:val="000000"/>
        </w:rPr>
      </w:pPr>
      <w:bookmarkStart w:id="1" w:name="_40anr7ea5saw" w:colFirst="0" w:colLast="0"/>
      <w:bookmarkEnd w:id="1"/>
      <w:r>
        <w:rPr>
          <w:i w:val="0"/>
          <w:color w:val="000000"/>
        </w:rPr>
        <w:lastRenderedPageBreak/>
        <w:t>Socioeconomic Status</w:t>
      </w:r>
    </w:p>
    <w:p w14:paraId="43C1A652" w14:textId="0B752719"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beyond the scope of this paper to detail all the theories that attempt to account for the complex causal pathways that may connect socio-economic status (SES) to children's language environments. We recommend Rowe (2018) as a starting point for readers interested in this literature, along with Golinkoff et al. (2019) and Sperry et al. (2019) for diverse theoretical perspectives. In this paper, we do not take a stance on whether, how, or why SES and language environments relate to each other, but merely indicate that SES is one of the factors that has been repeatedly studied in the context of early language acquisition, particularly related to input. For </w:t>
      </w:r>
      <w:r w:rsidR="006A37D6">
        <w:rPr>
          <w:rFonts w:ascii="Times New Roman" w:eastAsia="Times New Roman" w:hAnsi="Times New Roman" w:cs="Times New Roman"/>
          <w:sz w:val="24"/>
          <w:szCs w:val="24"/>
        </w:rPr>
        <w:t>example, Hoff</w:t>
      </w:r>
      <w:r>
        <w:rPr>
          <w:rFonts w:ascii="Times New Roman" w:eastAsia="Times New Roman" w:hAnsi="Times New Roman" w:cs="Times New Roman"/>
          <w:sz w:val="24"/>
          <w:szCs w:val="24"/>
        </w:rPr>
        <w:t xml:space="preserve"> (2003a) compared the speech of high- versus low-SES American mothers. College-educated mothers produced more utterances to their children, with more diverse vocabulary, longer phrases, and a higher number of utterances continuing a topic the child had brought up. Similar findings can be seen in other studies (Hart &amp; Risley, 1995; Hoff-Ginsberg 1990; Hoff, 2003b; Huttenlocher, et al., 2002, 2007; see also Dailey &amp; Bergelson, 2022; </w:t>
      </w:r>
      <w:hyperlink r:id="rId7">
        <w:r>
          <w:rPr>
            <w:rFonts w:ascii="Times New Roman" w:eastAsia="Times New Roman" w:hAnsi="Times New Roman" w:cs="Times New Roman"/>
            <w:sz w:val="24"/>
            <w:szCs w:val="24"/>
          </w:rPr>
          <w:t>Piot et al., 2021</w:t>
        </w:r>
      </w:hyperlink>
      <w:r>
        <w:rPr>
          <w:rFonts w:ascii="Times New Roman" w:eastAsia="Times New Roman" w:hAnsi="Times New Roman" w:cs="Times New Roman"/>
          <w:sz w:val="24"/>
          <w:szCs w:val="24"/>
        </w:rPr>
        <w:t>; for meta-analyses supporting the link; and Bergelson et al., 2023 for a large-scale study finding no significant SES effects). In the developmental literature, SES is primarily indexed by parents’ education (Ensminger</w:t>
      </w:r>
      <w:r w:rsidR="006A37D6" w:rsidRPr="006A37D6">
        <w:rPr>
          <w:rFonts w:ascii="Times New Roman" w:eastAsia="Times New Roman" w:hAnsi="Times New Roman" w:cs="Times New Roman"/>
          <w:sz w:val="24"/>
          <w:szCs w:val="24"/>
        </w:rPr>
        <w:t xml:space="preserve"> </w:t>
      </w:r>
      <w:r w:rsidR="006A37D6">
        <w:rPr>
          <w:rFonts w:ascii="Times New Roman" w:eastAsia="Times New Roman" w:hAnsi="Times New Roman" w:cs="Times New Roman"/>
          <w:sz w:val="24"/>
          <w:szCs w:val="24"/>
        </w:rPr>
        <w:t xml:space="preserve">et al., </w:t>
      </w:r>
      <w:r>
        <w:rPr>
          <w:rFonts w:ascii="Times New Roman" w:eastAsia="Times New Roman" w:hAnsi="Times New Roman" w:cs="Times New Roman"/>
          <w:sz w:val="24"/>
          <w:szCs w:val="24"/>
        </w:rPr>
        <w:t xml:space="preserve">2003; Hoff, 2003a), but can also be indexed by parental income, occupation, or a composite measure of these three (e.g. using the Hollingshead index; Hollingshead, 1975). </w:t>
      </w:r>
      <w:r>
        <w:rPr>
          <w:rFonts w:ascii="Times New Roman" w:eastAsia="Times New Roman" w:hAnsi="Times New Roman" w:cs="Times New Roman"/>
          <w:sz w:val="24"/>
          <w:szCs w:val="24"/>
        </w:rPr>
        <w:br/>
      </w:r>
    </w:p>
    <w:p w14:paraId="771673F3"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Urbanization</w:t>
      </w:r>
    </w:p>
    <w:p w14:paraId="336B1B27"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dimension represents differences across populations in terms of the extent to which they are organized around urban sites, which often entail differences in job opportunities, living conditions, and infrastructure. Within the general theoretical framework of language </w:t>
      </w:r>
      <w:r>
        <w:rPr>
          <w:rFonts w:ascii="Times New Roman" w:eastAsia="Times New Roman" w:hAnsi="Times New Roman" w:cs="Times New Roman"/>
          <w:sz w:val="24"/>
          <w:szCs w:val="24"/>
        </w:rPr>
        <w:lastRenderedPageBreak/>
        <w:t>socialization, there have been proposals that societies varying in their urbanization have differing views and values about the role of children in conversations (e.g., Sharma &amp; Levine, 1998; Richman et al., 1992; Draper &amp; Harpending, 1987; Keller, 2012). For instance, Keller (2012) discusses three prototypical cases, urban, rural, and hybrid, which differ in terms of their goals for children:  Urban families aim for child psychological independence, rural families for child physical autonomy and interdependence, and hybrid families for some mix. Vogt et al. (2020) employed this classification to interpret their results on multimodal language use across three samples: urban Dutch, urban Mozambique, and rural Mozambique. They found that the number of gestures, gesture-speech alignment, and gesture types all vary across the three groups in ways that can be related to Keller's typology. Similarly, Cristia's (2023) systematic review uses urbanization status to describe the frequency of child-directed vocalization, finding that it is far less frequent in rural than urban communities.</w:t>
      </w:r>
      <w:r>
        <w:rPr>
          <w:rFonts w:ascii="Times New Roman" w:eastAsia="Times New Roman" w:hAnsi="Times New Roman" w:cs="Times New Roman"/>
          <w:sz w:val="24"/>
          <w:szCs w:val="24"/>
        </w:rPr>
        <w:br/>
      </w:r>
    </w:p>
    <w:p w14:paraId="2EFD73F9"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 xml:space="preserve">Family </w:t>
      </w:r>
      <w:r>
        <w:rPr>
          <w:rFonts w:ascii="Times New Roman" w:eastAsia="Times New Roman" w:hAnsi="Times New Roman" w:cs="Times New Roman"/>
          <w:b/>
          <w:sz w:val="24"/>
          <w:szCs w:val="24"/>
        </w:rPr>
        <w:t>S</w:t>
      </w:r>
      <w:r>
        <w:rPr>
          <w:rFonts w:ascii="Times New Roman" w:eastAsia="Times New Roman" w:hAnsi="Times New Roman" w:cs="Times New Roman"/>
          <w:b/>
          <w:color w:val="000000"/>
          <w:sz w:val="24"/>
          <w:szCs w:val="24"/>
        </w:rPr>
        <w:t>tructure</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In this paper, we use the concept of family structure to encompass a variety of related aspects such as birth order and the way that caregiving is structured, each of which has an impact on child and language development (e.g., Blake, 1981; Duncan &amp; Paradis, 2020; Havron et al., 2019, 2022, Hoff, 1993; Tomasello et al., 1995; Bornstein et al., 2019). For instance, children with older siblings exhibit lower language skills compared to first-born children across various cultures (e.g., Pyere et al., 2016 in France; Havron et al., 2022 in Singapore; </w:t>
      </w:r>
      <w:hyperlink r:id="rId8">
        <w:r>
          <w:rPr>
            <w:rFonts w:ascii="Times New Roman" w:eastAsia="Times New Roman" w:hAnsi="Times New Roman" w:cs="Times New Roman"/>
            <w:sz w:val="24"/>
            <w:szCs w:val="24"/>
          </w:rPr>
          <w:t>Zambrana</w:t>
        </w:r>
      </w:hyperlink>
      <w:r>
        <w:rPr>
          <w:rFonts w:ascii="Times New Roman" w:eastAsia="Times New Roman" w:hAnsi="Times New Roman" w:cs="Times New Roman"/>
          <w:sz w:val="24"/>
          <w:szCs w:val="24"/>
        </w:rPr>
        <w:t xml:space="preserve">, et al., 2012 in Norway), although second-born children might benefit from overhearing conversations between their caregivers and older sibling (Oshima-Takane et al., 1996). As for caregiving structures, in many middle-class Euro-American families, parents typically assume primary </w:t>
      </w:r>
      <w:r>
        <w:rPr>
          <w:rFonts w:ascii="Times New Roman" w:eastAsia="Times New Roman" w:hAnsi="Times New Roman" w:cs="Times New Roman"/>
          <w:sz w:val="24"/>
          <w:szCs w:val="24"/>
        </w:rPr>
        <w:lastRenderedPageBreak/>
        <w:t xml:space="preserve">responsibility for children, with the mother as the primary caregiver (e.g. Bakermans-Kranenburg et al., 2004; Huttenlocher et al., 2010; Ispa et al., 2004; Pan et al., 2005). However, certain cultures, like the Turkish families described by Isleyen (2021), adopt a different approach, with nuclear families living in separate apartments but sharing common spaces and caregiving responsibilities, resulting in extensive support networks. </w:t>
      </w:r>
    </w:p>
    <w:p w14:paraId="4C56D1E7" w14:textId="77777777" w:rsidR="007F49F8" w:rsidRDefault="007F49F8">
      <w:pPr>
        <w:pStyle w:val="Heading4"/>
        <w:rPr>
          <w:i w:val="0"/>
        </w:rPr>
      </w:pPr>
      <w:bookmarkStart w:id="2" w:name="_atezmbofh19g" w:colFirst="0" w:colLast="0"/>
      <w:bookmarkEnd w:id="2"/>
    </w:p>
    <w:p w14:paraId="39BF5878" w14:textId="77777777" w:rsidR="007F49F8" w:rsidRDefault="00000000">
      <w:pPr>
        <w:pStyle w:val="Heading4"/>
        <w:rPr>
          <w:i w:val="0"/>
        </w:rPr>
      </w:pPr>
      <w:bookmarkStart w:id="3" w:name="_qz75s47bhble" w:colFirst="0" w:colLast="0"/>
      <w:bookmarkEnd w:id="3"/>
      <w:r>
        <w:rPr>
          <w:i w:val="0"/>
          <w:color w:val="000000"/>
        </w:rPr>
        <w:t>Languages</w:t>
      </w:r>
      <w:r>
        <w:rPr>
          <w:i w:val="0"/>
        </w:rPr>
        <w:t xml:space="preserve"> </w:t>
      </w:r>
    </w:p>
    <w:p w14:paraId="7CB1CD5B" w14:textId="4020AB9F"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Characterizing the diversity of participant samples in terms of language (Blasi et al, 2022; Kidd &amp; Garcia, 2022) is an important factor in language </w:t>
      </w:r>
      <w:r w:rsidR="006A37D6">
        <w:rPr>
          <w:rFonts w:ascii="Times New Roman" w:eastAsia="Times New Roman" w:hAnsi="Times New Roman" w:cs="Times New Roman"/>
          <w:sz w:val="24"/>
          <w:szCs w:val="24"/>
        </w:rPr>
        <w:t>acquisition, allowing</w:t>
      </w:r>
      <w:r>
        <w:rPr>
          <w:rFonts w:ascii="Times New Roman" w:eastAsia="Times New Roman" w:hAnsi="Times New Roman" w:cs="Times New Roman"/>
          <w:sz w:val="24"/>
          <w:szCs w:val="24"/>
        </w:rPr>
        <w:t xml:space="preserve"> us to explore how </w:t>
      </w:r>
      <w:r>
        <w:rPr>
          <w:rFonts w:ascii="Times New Roman" w:eastAsia="Times New Roman" w:hAnsi="Times New Roman" w:cs="Times New Roman"/>
          <w:i/>
          <w:sz w:val="24"/>
          <w:szCs w:val="24"/>
        </w:rPr>
        <w:t>purely</w:t>
      </w:r>
      <w:r>
        <w:rPr>
          <w:rFonts w:ascii="Times New Roman" w:eastAsia="Times New Roman" w:hAnsi="Times New Roman" w:cs="Times New Roman"/>
          <w:sz w:val="24"/>
          <w:szCs w:val="24"/>
        </w:rPr>
        <w:t xml:space="preserve"> linguistic factors shape and influence the development of language skills in children. For example, based on transcriptions of conversations, Pye and colleagues documented that K’iche' Mayan children frequently use and understand passive constructions from a very young age, unlike their English-speaking peers, refuting the idea that passive constructions can only emerge later in development (Pye, 1980; Pye &amp; Poz, 1988).</w:t>
      </w:r>
    </w:p>
    <w:p w14:paraId="4C200D20" w14:textId="744995CA" w:rsidR="007F49F8" w:rsidRDefault="00000000">
      <w:pPr>
        <w:spacing w:line="480" w:lineRule="auto"/>
        <w:ind w:firstLine="720"/>
        <w:rPr>
          <w:rFonts w:ascii="Times New Roman" w:eastAsia="Times New Roman" w:hAnsi="Times New Roman" w:cs="Times New Roman"/>
          <w:b/>
          <w:color w:val="000000"/>
          <w:sz w:val="24"/>
          <w:szCs w:val="24"/>
        </w:rPr>
      </w:pPr>
      <w:r>
        <w:rPr>
          <w:rFonts w:ascii="Times New Roman" w:eastAsia="Times New Roman" w:hAnsi="Times New Roman" w:cs="Times New Roman"/>
          <w:sz w:val="24"/>
          <w:szCs w:val="24"/>
        </w:rPr>
        <w:t>Similarly, many Indo-European languages show a strong noun bias in early vocabularies (a bias for acquiring words for concrete referential objects rather than actions), which has been claimed to be a universal feature of early language acquisition. However, studies have shown that in some Mayan languages, including Tseltal and Tsotsil (Casillas et al., 2024; De Leon, 1999), there is little to no evidence for a noun bias, and argue for a verb bias instead. This highlights significant cross-linguistic variation (Casillas et al., 2024).</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ab/>
        <w:t>Another major dimension and sub-field in developmental science is the study of bilingualism or multilingualism (for an introductory review see Höhle et al.</w:t>
      </w:r>
      <w:r w:rsidR="006A37D6">
        <w:rPr>
          <w:rFonts w:ascii="Times New Roman" w:eastAsia="Times New Roman" w:hAnsi="Times New Roman" w:cs="Times New Roman"/>
          <w:sz w:val="24"/>
          <w:szCs w:val="24"/>
        </w:rPr>
        <w:t>, 2019</w:t>
      </w:r>
      <w:r>
        <w:rPr>
          <w:rFonts w:ascii="Times New Roman" w:eastAsia="Times New Roman" w:hAnsi="Times New Roman" w:cs="Times New Roman"/>
          <w:sz w:val="24"/>
          <w:szCs w:val="24"/>
        </w:rPr>
        <w:t xml:space="preserve">, and McCabe et al., 2013). There is evidence that monolingual and bilingual early language development </w:t>
      </w:r>
      <w:r>
        <w:rPr>
          <w:rFonts w:ascii="Times New Roman" w:eastAsia="Times New Roman" w:hAnsi="Times New Roman" w:cs="Times New Roman"/>
          <w:sz w:val="24"/>
          <w:szCs w:val="24"/>
        </w:rPr>
        <w:lastRenderedPageBreak/>
        <w:t xml:space="preserve">differs in some aspects, particularly regarding phonological acquisition and word learning. For example, monolingual infants' ability to discriminate non-native sounds declines during the first year of age, whereas infants exposed to more language(s) maintain the discrimination window for a longer period (Singh et al., 2022). In terms of input, bilingual linguistic exposure is divided between two or more native languages. It has been shown that the amount of exposure to each native language can affect bilingual infants' speech discrimination abilities (Garcia-Sierra et al., 2011). </w:t>
      </w:r>
    </w:p>
    <w:p w14:paraId="04A46237" w14:textId="77777777" w:rsidR="007F49F8" w:rsidRDefault="00000000">
      <w:pPr>
        <w:pStyle w:val="Heading3"/>
        <w:spacing w:line="480" w:lineRule="auto"/>
        <w:rPr>
          <w:rFonts w:ascii="Times New Roman" w:eastAsia="Times New Roman" w:hAnsi="Times New Roman" w:cs="Times New Roman"/>
          <w:b/>
          <w:sz w:val="24"/>
          <w:szCs w:val="24"/>
        </w:rPr>
      </w:pPr>
      <w:bookmarkStart w:id="4" w:name="_mgoibisd6dg3" w:colFirst="0" w:colLast="0"/>
      <w:bookmarkEnd w:id="4"/>
      <w:r>
        <w:rPr>
          <w:rFonts w:ascii="Times New Roman" w:eastAsia="Times New Roman" w:hAnsi="Times New Roman" w:cs="Times New Roman"/>
          <w:b/>
          <w:color w:val="000000"/>
          <w:sz w:val="24"/>
          <w:szCs w:val="24"/>
        </w:rPr>
        <w:t>The current study</w:t>
      </w:r>
    </w:p>
    <w:p w14:paraId="31588670"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Inspired by calls to document the demographic and linguistic diversity of participant samples (Kidd &amp; Garcia, 2021; Singh et al, 2023), we sought to provide a systematic analysis of the naturalistic speech corpora of the CHILDES database by quantifying the diversity of each dimension introduced above (SES, urbanization, family structure, and languages). </w:t>
      </w:r>
    </w:p>
    <w:p w14:paraId="2C2A41D8" w14:textId="77777777" w:rsidR="007F49F8" w:rsidRDefault="00000000">
      <w:pPr>
        <w:pStyle w:val="Heading1"/>
        <w:jc w:val="center"/>
        <w:rPr>
          <w:rFonts w:ascii="Times New Roman" w:eastAsia="Times New Roman" w:hAnsi="Times New Roman" w:cs="Times New Roman"/>
          <w:sz w:val="24"/>
          <w:szCs w:val="24"/>
        </w:rPr>
      </w:pPr>
      <w:bookmarkStart w:id="5" w:name="_wunzrp1qxw99" w:colFirst="0" w:colLast="0"/>
      <w:bookmarkEnd w:id="5"/>
      <w:r>
        <w:rPr>
          <w:rFonts w:ascii="Times New Roman" w:eastAsia="Times New Roman" w:hAnsi="Times New Roman" w:cs="Times New Roman"/>
          <w:b/>
          <w:sz w:val="24"/>
          <w:szCs w:val="24"/>
        </w:rPr>
        <w:t>Method</w:t>
      </w:r>
    </w:p>
    <w:p w14:paraId="6C2CB60F" w14:textId="77777777" w:rsidR="007F49F8" w:rsidRDefault="00000000">
      <w:pPr>
        <w:pStyle w:val="Heading4"/>
        <w:rPr>
          <w:i w:val="0"/>
        </w:rPr>
      </w:pPr>
      <w:bookmarkStart w:id="6" w:name="_8m3mxkl5vccq" w:colFirst="0" w:colLast="0"/>
      <w:bookmarkEnd w:id="6"/>
      <w:r>
        <w:rPr>
          <w:i w:val="0"/>
          <w:color w:val="000000"/>
        </w:rPr>
        <w:t>Inclusion criteria</w:t>
      </w:r>
    </w:p>
    <w:p w14:paraId="0A515F4E"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extracted information from the online CHILDES database in 2021, at which point there were 430 corpora. We excluded corpora on clinical populations (N = 69), in-lab recordings (N = 26), and elicitation tasks (N = 114), because they would have introduced additional sources of variation and biases. For example, the inclusion of clinical populations may highlight differences in the prevalence and access to diagnosis in different countries. Given our interest in naturalistic input and output represented in CHILDES, we also excluded corpora where only child speech was transcribed (N = 19) and diary studies (N = 11). Finally, we excluded 11 corpora that were </w:t>
      </w:r>
      <w:r>
        <w:rPr>
          <w:rFonts w:ascii="Times New Roman" w:eastAsia="Times New Roman" w:hAnsi="Times New Roman" w:cs="Times New Roman"/>
          <w:sz w:val="24"/>
          <w:szCs w:val="24"/>
        </w:rPr>
        <w:lastRenderedPageBreak/>
        <w:t>not available, resulting in a final sample of 180 corpora containing naturalistic recordings of children's input and output.</w:t>
      </w:r>
    </w:p>
    <w:p w14:paraId="6EC1DE91" w14:textId="77777777" w:rsidR="007F49F8" w:rsidRDefault="007F49F8">
      <w:pPr>
        <w:spacing w:line="480" w:lineRule="auto"/>
        <w:rPr>
          <w:rFonts w:ascii="Times New Roman" w:eastAsia="Times New Roman" w:hAnsi="Times New Roman" w:cs="Times New Roman"/>
          <w:b/>
          <w:sz w:val="24"/>
          <w:szCs w:val="24"/>
        </w:rPr>
      </w:pPr>
    </w:p>
    <w:p w14:paraId="1E845976" w14:textId="77777777" w:rsidR="007F49F8" w:rsidRDefault="00000000">
      <w:pPr>
        <w:pStyle w:val="Heading4"/>
        <w:rPr>
          <w:i w:val="0"/>
        </w:rPr>
      </w:pPr>
      <w:bookmarkStart w:id="7" w:name="_6e3zelpts6rw" w:colFirst="0" w:colLast="0"/>
      <w:bookmarkEnd w:id="7"/>
      <w:r>
        <w:rPr>
          <w:i w:val="0"/>
        </w:rPr>
        <w:t>Demographic Data Collection</w:t>
      </w:r>
    </w:p>
    <w:p w14:paraId="5668D636" w14:textId="306AAB0D"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on participant demographics was extracted from the references provided for each corpus in CHILDES such as articles, book chapters, dissertations, and the actual content of transcribed recordings. We contacted corpus curators for missing information, and over a third (103 </w:t>
      </w:r>
      <w:r w:rsidR="006A37D6">
        <w:rPr>
          <w:rFonts w:ascii="Times New Roman" w:eastAsia="Times New Roman" w:hAnsi="Times New Roman" w:cs="Times New Roman"/>
          <w:sz w:val="24"/>
          <w:szCs w:val="24"/>
        </w:rPr>
        <w:t>corpora, 32</w:t>
      </w:r>
      <w:r>
        <w:rPr>
          <w:rFonts w:ascii="Times New Roman" w:eastAsia="Times New Roman" w:hAnsi="Times New Roman" w:cs="Times New Roman"/>
          <w:sz w:val="24"/>
          <w:szCs w:val="24"/>
        </w:rPr>
        <w:t xml:space="preserve">%) provided additional data or confirmed missing information. Unfortunately, curators for 50 corpora (15%) could not be contacted due to unresponsive email addresses (38 corpora), or the curator’s passing (12 corpora). </w:t>
      </w:r>
    </w:p>
    <w:p w14:paraId="0EEEC75D" w14:textId="77777777" w:rsidR="007F49F8" w:rsidRDefault="007F49F8">
      <w:pPr>
        <w:spacing w:line="480" w:lineRule="auto"/>
        <w:rPr>
          <w:rFonts w:ascii="Times New Roman" w:eastAsia="Times New Roman" w:hAnsi="Times New Roman" w:cs="Times New Roman"/>
          <w:sz w:val="24"/>
          <w:szCs w:val="24"/>
        </w:rPr>
      </w:pPr>
    </w:p>
    <w:p w14:paraId="7962E3EB" w14:textId="77777777" w:rsidR="007F49F8" w:rsidRDefault="00000000">
      <w:pPr>
        <w:pStyle w:val="Heading4"/>
        <w:rPr>
          <w:i w:val="0"/>
        </w:rPr>
      </w:pPr>
      <w:bookmarkStart w:id="8" w:name="_h9sdw6bqyhim" w:colFirst="0" w:colLast="0"/>
      <w:bookmarkEnd w:id="8"/>
      <w:r>
        <w:rPr>
          <w:i w:val="0"/>
        </w:rPr>
        <w:t>Analyses</w:t>
      </w:r>
    </w:p>
    <w:p w14:paraId="61CEA3DB"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Analyses and visualizations were carried out using R (version 4.1.2, R Core Team, 2020) and ggplot2 (</w:t>
      </w:r>
      <w:r>
        <w:rPr>
          <w:rFonts w:ascii="Times New Roman" w:eastAsia="Times New Roman" w:hAnsi="Times New Roman" w:cs="Times New Roman"/>
          <w:sz w:val="24"/>
          <w:szCs w:val="24"/>
          <w:highlight w:val="white"/>
        </w:rPr>
        <w:t>Wickham, 2016</w:t>
      </w:r>
      <w:r>
        <w:rPr>
          <w:rFonts w:ascii="Times New Roman" w:eastAsia="Times New Roman" w:hAnsi="Times New Roman" w:cs="Times New Roman"/>
          <w:sz w:val="24"/>
          <w:szCs w:val="24"/>
        </w:rPr>
        <w:t>). Data, scripts, and Supplementary Materials are available on the OSF (Anonymized, 2024). Following Ghai's (2022) recommendation to enhance the description of diversity in behavioral sciences, we examined different levels, from a macro-level, involving broad country comparisons, to a corpus-level, where we analyzed individual corpora for a more detailed and nuanced understanding of the data.</w:t>
      </w:r>
    </w:p>
    <w:p w14:paraId="4F710191" w14:textId="77777777" w:rsidR="007F49F8" w:rsidRDefault="007F49F8">
      <w:pPr>
        <w:pStyle w:val="Heading2"/>
        <w:jc w:val="center"/>
      </w:pPr>
      <w:bookmarkStart w:id="9" w:name="_v6qt3ga9jtqu" w:colFirst="0" w:colLast="0"/>
      <w:bookmarkEnd w:id="9"/>
    </w:p>
    <w:p w14:paraId="3D55FEED" w14:textId="77777777" w:rsidR="007F49F8" w:rsidRDefault="00000000">
      <w:pPr>
        <w:pStyle w:val="Heading2"/>
        <w:jc w:val="center"/>
      </w:pPr>
      <w:bookmarkStart w:id="10" w:name="_8a7hxnju1d8o" w:colFirst="0" w:colLast="0"/>
      <w:bookmarkEnd w:id="10"/>
      <w:r>
        <w:t>Results</w:t>
      </w:r>
    </w:p>
    <w:p w14:paraId="2721AF7A" w14:textId="77777777" w:rsidR="007F49F8" w:rsidRDefault="007F49F8">
      <w:pPr>
        <w:spacing w:line="480" w:lineRule="auto"/>
        <w:ind w:firstLine="720"/>
        <w:rPr>
          <w:rFonts w:ascii="Times New Roman" w:eastAsia="Times New Roman" w:hAnsi="Times New Roman" w:cs="Times New Roman"/>
          <w:sz w:val="24"/>
          <w:szCs w:val="24"/>
        </w:rPr>
      </w:pPr>
    </w:p>
    <w:p w14:paraId="5255ABF1" w14:textId="77777777" w:rsidR="007F49F8" w:rsidRDefault="00000000">
      <w:pPr>
        <w:pStyle w:val="Heading2"/>
      </w:pPr>
      <w:bookmarkStart w:id="11" w:name="_leb27b69rstc" w:colFirst="0" w:colLast="0"/>
      <w:bookmarkEnd w:id="11"/>
      <w:r>
        <w:lastRenderedPageBreak/>
        <w:t>Do Countries in Our CHILDES Sample Represent the World's Countries?</w:t>
      </w:r>
    </w:p>
    <w:p w14:paraId="3BB22779"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180 corpora included in this study represent 48 different countries or territories across all populated continents (see Figure 1), although 28 countries, representing 151 corpora (84%), belong to the OECD (Organisation for Economic Co-operation and Development). Meanwhile, OECD countries represent only 19.5% of the world’s countries. The country with the most corpora is the United States with 30 different corpora, followed by Spain with 24, followed by the United Kingdom and France with 11. </w:t>
      </w:r>
    </w:p>
    <w:p w14:paraId="3CA12E84" w14:textId="77777777" w:rsidR="007F49F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444EC9BD" wp14:editId="1D9E28A9">
            <wp:extent cx="5943600" cy="27432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943600" cy="2743200"/>
                    </a:xfrm>
                    <a:prstGeom prst="rect">
                      <a:avLst/>
                    </a:prstGeom>
                    <a:ln/>
                  </pic:spPr>
                </pic:pic>
              </a:graphicData>
            </a:graphic>
          </wp:inline>
        </w:drawing>
      </w:r>
    </w:p>
    <w:p w14:paraId="0E824477"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 xml:space="preserve">Figure 1. </w:t>
      </w:r>
      <w:r>
        <w:rPr>
          <w:rFonts w:ascii="Times New Roman" w:eastAsia="Times New Roman" w:hAnsi="Times New Roman" w:cs="Times New Roman"/>
          <w:i/>
          <w:sz w:val="24"/>
          <w:szCs w:val="24"/>
          <w:highlight w:val="white"/>
        </w:rPr>
        <w:t xml:space="preserve">Geographical Distribution of the Corpora in CHILDES. </w:t>
      </w:r>
      <w:r>
        <w:rPr>
          <w:rFonts w:ascii="Times New Roman" w:eastAsia="Times New Roman" w:hAnsi="Times New Roman" w:cs="Times New Roman"/>
          <w:sz w:val="24"/>
          <w:szCs w:val="24"/>
          <w:highlight w:val="white"/>
        </w:rPr>
        <w:t>Each circle represents a corpus, and its size is proportional to the number of participants.</w:t>
      </w:r>
      <w:r>
        <w:rPr>
          <w:rFonts w:ascii="Times New Roman" w:eastAsia="Times New Roman" w:hAnsi="Times New Roman" w:cs="Times New Roman"/>
          <w:sz w:val="24"/>
          <w:szCs w:val="24"/>
        </w:rPr>
        <w:br/>
      </w:r>
    </w:p>
    <w:p w14:paraId="368939C9" w14:textId="7B901C0F" w:rsidR="007F49F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checked for representativeness given the four key dimensions described in the Introduction (see Figure 2</w:t>
      </w:r>
      <w:r>
        <w:rPr>
          <w:rFonts w:ascii="Times New Roman" w:eastAsia="Times New Roman" w:hAnsi="Times New Roman" w:cs="Times New Roman"/>
          <w:sz w:val="24"/>
          <w:szCs w:val="24"/>
        </w:rPr>
        <w:t xml:space="preserve">), by using public information on the represented countries (see SM1 for details). </w:t>
      </w:r>
      <w:r>
        <w:rPr>
          <w:rFonts w:ascii="Times New Roman" w:eastAsia="Times New Roman" w:hAnsi="Times New Roman" w:cs="Times New Roman"/>
          <w:sz w:val="24"/>
          <w:szCs w:val="24"/>
          <w:highlight w:val="white"/>
        </w:rPr>
        <w:t xml:space="preserve">Countries in our sample of CHILDES differed significantly from the distribution of countries in the world according to unpaired tests that did not assume equality of variances (Welch's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 a higher proportion of the population completed lower secondary school than the worldwide </w:t>
      </w:r>
      <w:r>
        <w:rPr>
          <w:rFonts w:ascii="Times New Roman" w:eastAsia="Times New Roman" w:hAnsi="Times New Roman" w:cs="Times New Roman"/>
          <w:sz w:val="24"/>
          <w:szCs w:val="24"/>
          <w:highlight w:val="white"/>
        </w:rPr>
        <w:lastRenderedPageBreak/>
        <w:t xml:space="preserve">sample (% compl. LSS,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(130.41) = -6.19,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.001); the countries were more urban (% urban,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(79.48) = -3.44,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.001) and richer (log GDP per capita,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(102.35) = -6.02,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.001); and they had smaller households (average household size, </w:t>
      </w:r>
      <w:r>
        <w:rPr>
          <w:rFonts w:ascii="Times New Roman" w:eastAsia="Times New Roman" w:hAnsi="Times New Roman" w:cs="Times New Roman"/>
          <w:i/>
          <w:sz w:val="24"/>
          <w:szCs w:val="24"/>
          <w:highlight w:val="white"/>
        </w:rPr>
        <w:t>t</w:t>
      </w:r>
      <w:r>
        <w:rPr>
          <w:rFonts w:ascii="Times New Roman" w:eastAsia="Times New Roman" w:hAnsi="Times New Roman" w:cs="Times New Roman"/>
          <w:sz w:val="24"/>
          <w:szCs w:val="24"/>
          <w:highlight w:val="white"/>
        </w:rPr>
        <w:t xml:space="preserve">(118.8) = 7.12,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 xml:space="preserve"> &lt; .001). </w:t>
      </w:r>
    </w:p>
    <w:p w14:paraId="497AA278" w14:textId="77777777" w:rsidR="007F49F8" w:rsidRDefault="007F49F8">
      <w:pPr>
        <w:spacing w:line="480" w:lineRule="auto"/>
        <w:rPr>
          <w:rFonts w:ascii="Times New Roman" w:eastAsia="Times New Roman" w:hAnsi="Times New Roman" w:cs="Times New Roman"/>
          <w:sz w:val="24"/>
          <w:szCs w:val="24"/>
          <w:highlight w:val="white"/>
        </w:rPr>
      </w:pPr>
    </w:p>
    <w:p w14:paraId="00B7B641" w14:textId="77777777" w:rsidR="007F49F8" w:rsidRDefault="0000000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78A9C6E" wp14:editId="7BA01B46">
            <wp:extent cx="5943600" cy="29464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2946400"/>
                    </a:xfrm>
                    <a:prstGeom prst="rect">
                      <a:avLst/>
                    </a:prstGeom>
                    <a:ln/>
                  </pic:spPr>
                </pic:pic>
              </a:graphicData>
            </a:graphic>
          </wp:inline>
        </w:drawing>
      </w:r>
    </w:p>
    <w:p w14:paraId="22D79B3B"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2.</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Comparison of Country-Level Descriptors Between World Countries and Our CHILDES Sample. </w:t>
      </w:r>
      <w:r>
        <w:rPr>
          <w:rFonts w:ascii="Times New Roman" w:eastAsia="Times New Roman" w:hAnsi="Times New Roman" w:cs="Times New Roman"/>
          <w:sz w:val="24"/>
          <w:szCs w:val="24"/>
          <w:highlight w:val="white"/>
        </w:rPr>
        <w:t>Density plots show the distribution of country-level descriptors for all world countries (gray) versus countries represented in our sample of CHILDES (orange). % complete. LSS is the percentage of the country's population completing lower secondary school. % urban is the percent of the country's population residing in urban (as opposed to rural) locations. GDP stands for Gross Domestic Product. Avg Household size stands for average household size. Data from the World Bank, Our World in Data, and the United Nations. See SM1 for additional details.</w:t>
      </w:r>
    </w:p>
    <w:p w14:paraId="446AE214" w14:textId="77777777" w:rsidR="007F49F8" w:rsidRDefault="007F49F8">
      <w:pPr>
        <w:shd w:val="clear" w:color="auto" w:fill="FFFFFF"/>
        <w:spacing w:line="480" w:lineRule="auto"/>
        <w:rPr>
          <w:rFonts w:ascii="Times New Roman" w:eastAsia="Times New Roman" w:hAnsi="Times New Roman" w:cs="Times New Roman"/>
          <w:sz w:val="24"/>
          <w:szCs w:val="24"/>
          <w:highlight w:val="white"/>
        </w:rPr>
      </w:pPr>
    </w:p>
    <w:p w14:paraId="536FEEB8" w14:textId="77777777" w:rsidR="007F49F8" w:rsidRDefault="00000000">
      <w:pPr>
        <w:pStyle w:val="Heading4"/>
        <w:shd w:val="clear" w:color="auto" w:fill="FFFFFF"/>
      </w:pPr>
      <w:bookmarkStart w:id="12" w:name="_w9fcx041ba8g" w:colFirst="0" w:colLast="0"/>
      <w:bookmarkEnd w:id="12"/>
      <w:r>
        <w:lastRenderedPageBreak/>
        <w:t>How Representative and Diverse are Participant Samples?</w:t>
      </w:r>
    </w:p>
    <w:p w14:paraId="0825FC16"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next investigated variables within each corpus, as far as possible given substantial missing data (see Table 1 and figures below regarding the number of corpora represented in each analysis). </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highlight w:val="white"/>
        </w:rPr>
        <w:t xml:space="preserve">The information collected gives us more detail about the characteristics of the individual families that compose our sample of CHILDES. </w:t>
      </w:r>
    </w:p>
    <w:p w14:paraId="34449968" w14:textId="77777777" w:rsidR="007F49F8" w:rsidRDefault="007F49F8">
      <w:pPr>
        <w:spacing w:line="480" w:lineRule="auto"/>
        <w:rPr>
          <w:rFonts w:ascii="Times New Roman" w:eastAsia="Times New Roman" w:hAnsi="Times New Roman" w:cs="Times New Roman"/>
          <w:sz w:val="24"/>
          <w:szCs w:val="24"/>
        </w:rPr>
      </w:pPr>
    </w:p>
    <w:p w14:paraId="46BDF436"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Table 1.   </w:t>
      </w:r>
      <w:r>
        <w:rPr>
          <w:rFonts w:ascii="Times New Roman" w:eastAsia="Times New Roman" w:hAnsi="Times New Roman" w:cs="Times New Roman"/>
          <w:i/>
          <w:sz w:val="24"/>
          <w:szCs w:val="24"/>
        </w:rPr>
        <w:t xml:space="preserve">Variables of interest. </w:t>
      </w:r>
    </w:p>
    <w:tbl>
      <w:tblPr>
        <w:tblStyle w:val="a"/>
        <w:tblW w:w="9150" w:type="dxa"/>
        <w:tblBorders>
          <w:top w:val="nil"/>
          <w:left w:val="nil"/>
          <w:bottom w:val="nil"/>
          <w:right w:val="nil"/>
          <w:insideH w:val="nil"/>
          <w:insideV w:val="nil"/>
        </w:tblBorders>
        <w:tblLayout w:type="fixed"/>
        <w:tblLook w:val="0600" w:firstRow="0" w:lastRow="0" w:firstColumn="0" w:lastColumn="0" w:noHBand="1" w:noVBand="1"/>
      </w:tblPr>
      <w:tblGrid>
        <w:gridCol w:w="1335"/>
        <w:gridCol w:w="2385"/>
        <w:gridCol w:w="3780"/>
        <w:gridCol w:w="1650"/>
      </w:tblGrid>
      <w:tr w:rsidR="007F49F8" w14:paraId="7C69AADC" w14:textId="77777777">
        <w:trPr>
          <w:trHeight w:val="660"/>
        </w:trPr>
        <w:tc>
          <w:tcPr>
            <w:tcW w:w="1335" w:type="dxa"/>
            <w:tcBorders>
              <w:top w:val="single" w:sz="7" w:space="0" w:color="000000"/>
              <w:left w:val="nil"/>
              <w:bottom w:val="single" w:sz="7" w:space="0" w:color="000000"/>
              <w:right w:val="nil"/>
            </w:tcBorders>
            <w:tcMar>
              <w:top w:w="0" w:type="dxa"/>
              <w:left w:w="100" w:type="dxa"/>
              <w:bottom w:w="0" w:type="dxa"/>
              <w:right w:w="100" w:type="dxa"/>
            </w:tcMar>
          </w:tcPr>
          <w:p w14:paraId="004E95C3" w14:textId="77777777" w:rsidR="007F49F8" w:rsidRDefault="00000000">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Dimension</w:t>
            </w:r>
          </w:p>
        </w:tc>
        <w:tc>
          <w:tcPr>
            <w:tcW w:w="2385" w:type="dxa"/>
            <w:tcBorders>
              <w:top w:val="single" w:sz="7" w:space="0" w:color="000000"/>
              <w:left w:val="nil"/>
              <w:bottom w:val="single" w:sz="7" w:space="0" w:color="000000"/>
              <w:right w:val="nil"/>
            </w:tcBorders>
            <w:tcMar>
              <w:top w:w="0" w:type="dxa"/>
              <w:left w:w="100" w:type="dxa"/>
              <w:bottom w:w="0" w:type="dxa"/>
              <w:right w:w="100" w:type="dxa"/>
            </w:tcMar>
          </w:tcPr>
          <w:p w14:paraId="61D3FAA8" w14:textId="77777777" w:rsidR="007F49F8" w:rsidRDefault="00000000">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Corpus level variable</w:t>
            </w:r>
          </w:p>
        </w:tc>
        <w:tc>
          <w:tcPr>
            <w:tcW w:w="3780" w:type="dxa"/>
            <w:tcBorders>
              <w:top w:val="single" w:sz="7" w:space="0" w:color="000000"/>
              <w:left w:val="nil"/>
              <w:bottom w:val="single" w:sz="7" w:space="0" w:color="000000"/>
              <w:right w:val="nil"/>
            </w:tcBorders>
            <w:tcMar>
              <w:top w:w="0" w:type="dxa"/>
              <w:left w:w="100" w:type="dxa"/>
              <w:bottom w:w="0" w:type="dxa"/>
              <w:right w:w="100" w:type="dxa"/>
            </w:tcMar>
          </w:tcPr>
          <w:p w14:paraId="1C43EE4E" w14:textId="77777777" w:rsidR="007F49F8" w:rsidRDefault="00000000">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Definition of levels</w:t>
            </w:r>
          </w:p>
        </w:tc>
        <w:tc>
          <w:tcPr>
            <w:tcW w:w="1650" w:type="dxa"/>
            <w:tcBorders>
              <w:top w:val="single" w:sz="7" w:space="0" w:color="000000"/>
              <w:left w:val="nil"/>
              <w:bottom w:val="single" w:sz="7" w:space="0" w:color="000000"/>
              <w:right w:val="nil"/>
            </w:tcBorders>
            <w:tcMar>
              <w:top w:w="0" w:type="dxa"/>
              <w:left w:w="100" w:type="dxa"/>
              <w:bottom w:w="0" w:type="dxa"/>
              <w:right w:w="100" w:type="dxa"/>
            </w:tcMar>
          </w:tcPr>
          <w:p w14:paraId="7519DE14" w14:textId="77777777" w:rsidR="007F49F8" w:rsidRDefault="00000000">
            <w:pPr>
              <w:spacing w:before="180" w:after="18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 corpus (% of corpora)</w:t>
            </w:r>
          </w:p>
        </w:tc>
      </w:tr>
      <w:tr w:rsidR="007F49F8" w14:paraId="6534A7D3" w14:textId="77777777">
        <w:trPr>
          <w:trHeight w:val="930"/>
        </w:trPr>
        <w:tc>
          <w:tcPr>
            <w:tcW w:w="1335" w:type="dxa"/>
            <w:tcBorders>
              <w:top w:val="nil"/>
              <w:left w:val="nil"/>
              <w:bottom w:val="nil"/>
              <w:right w:val="nil"/>
            </w:tcBorders>
            <w:tcMar>
              <w:top w:w="0" w:type="dxa"/>
              <w:left w:w="100" w:type="dxa"/>
              <w:bottom w:w="0" w:type="dxa"/>
              <w:right w:w="100" w:type="dxa"/>
            </w:tcMar>
          </w:tcPr>
          <w:p w14:paraId="7CCCB507"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2385" w:type="dxa"/>
            <w:tcBorders>
              <w:top w:val="nil"/>
              <w:left w:val="nil"/>
              <w:bottom w:val="nil"/>
              <w:right w:val="nil"/>
            </w:tcBorders>
            <w:tcMar>
              <w:top w:w="0" w:type="dxa"/>
              <w:left w:w="100" w:type="dxa"/>
              <w:bottom w:w="0" w:type="dxa"/>
              <w:right w:w="100" w:type="dxa"/>
            </w:tcMar>
          </w:tcPr>
          <w:p w14:paraId="5449B82A"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socio-economic status</w:t>
            </w:r>
          </w:p>
        </w:tc>
        <w:tc>
          <w:tcPr>
            <w:tcW w:w="3780" w:type="dxa"/>
            <w:tcBorders>
              <w:top w:val="nil"/>
              <w:left w:val="nil"/>
              <w:bottom w:val="nil"/>
              <w:right w:val="nil"/>
            </w:tcBorders>
            <w:tcMar>
              <w:top w:w="0" w:type="dxa"/>
              <w:left w:w="100" w:type="dxa"/>
              <w:bottom w:w="0" w:type="dxa"/>
              <w:right w:w="100" w:type="dxa"/>
            </w:tcMar>
          </w:tcPr>
          <w:p w14:paraId="2B2B0F6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 mid, and/or high</w:t>
            </w:r>
          </w:p>
        </w:tc>
        <w:tc>
          <w:tcPr>
            <w:tcW w:w="1650" w:type="dxa"/>
            <w:tcBorders>
              <w:top w:val="nil"/>
              <w:left w:val="nil"/>
              <w:bottom w:val="nil"/>
              <w:right w:val="nil"/>
            </w:tcBorders>
            <w:tcMar>
              <w:top w:w="0" w:type="dxa"/>
              <w:left w:w="100" w:type="dxa"/>
              <w:bottom w:w="0" w:type="dxa"/>
              <w:right w:w="100" w:type="dxa"/>
            </w:tcMar>
          </w:tcPr>
          <w:p w14:paraId="2DF9DA33"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102 (57%)</w:t>
            </w:r>
          </w:p>
        </w:tc>
      </w:tr>
      <w:tr w:rsidR="007F49F8" w14:paraId="41028FB2" w14:textId="77777777">
        <w:trPr>
          <w:trHeight w:val="1200"/>
        </w:trPr>
        <w:tc>
          <w:tcPr>
            <w:tcW w:w="1335" w:type="dxa"/>
            <w:tcBorders>
              <w:top w:val="nil"/>
              <w:left w:val="nil"/>
              <w:bottom w:val="nil"/>
              <w:right w:val="nil"/>
            </w:tcBorders>
            <w:tcMar>
              <w:top w:w="0" w:type="dxa"/>
              <w:left w:w="100" w:type="dxa"/>
              <w:bottom w:w="0" w:type="dxa"/>
              <w:right w:w="100" w:type="dxa"/>
            </w:tcMar>
          </w:tcPr>
          <w:p w14:paraId="30172691"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2385" w:type="dxa"/>
            <w:tcBorders>
              <w:top w:val="nil"/>
              <w:left w:val="nil"/>
              <w:bottom w:val="nil"/>
              <w:right w:val="nil"/>
            </w:tcBorders>
            <w:tcMar>
              <w:top w:w="0" w:type="dxa"/>
              <w:left w:w="100" w:type="dxa"/>
              <w:bottom w:w="0" w:type="dxa"/>
              <w:right w:w="100" w:type="dxa"/>
            </w:tcMar>
          </w:tcPr>
          <w:p w14:paraId="032F4526"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education level</w:t>
            </w:r>
          </w:p>
        </w:tc>
        <w:tc>
          <w:tcPr>
            <w:tcW w:w="3780" w:type="dxa"/>
            <w:tcBorders>
              <w:top w:val="nil"/>
              <w:left w:val="nil"/>
              <w:bottom w:val="nil"/>
              <w:right w:val="nil"/>
            </w:tcBorders>
            <w:tcMar>
              <w:top w:w="0" w:type="dxa"/>
              <w:left w:w="100" w:type="dxa"/>
              <w:bottom w:w="0" w:type="dxa"/>
              <w:right w:w="100" w:type="dxa"/>
            </w:tcMar>
          </w:tcPr>
          <w:p w14:paraId="477C665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Highest level of education completed: Primary, High school, Undergraduate, Masters, PhD</w:t>
            </w:r>
          </w:p>
        </w:tc>
        <w:tc>
          <w:tcPr>
            <w:tcW w:w="1650" w:type="dxa"/>
            <w:tcBorders>
              <w:top w:val="nil"/>
              <w:left w:val="nil"/>
              <w:bottom w:val="nil"/>
              <w:right w:val="nil"/>
            </w:tcBorders>
            <w:tcMar>
              <w:top w:w="0" w:type="dxa"/>
              <w:left w:w="100" w:type="dxa"/>
              <w:bottom w:w="0" w:type="dxa"/>
              <w:right w:w="100" w:type="dxa"/>
            </w:tcMar>
          </w:tcPr>
          <w:p w14:paraId="0A6E3561"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80 (44%)</w:t>
            </w:r>
          </w:p>
        </w:tc>
      </w:tr>
      <w:tr w:rsidR="007F49F8" w14:paraId="2A3D74F8" w14:textId="77777777">
        <w:trPr>
          <w:trHeight w:val="645"/>
        </w:trPr>
        <w:tc>
          <w:tcPr>
            <w:tcW w:w="1335" w:type="dxa"/>
            <w:tcBorders>
              <w:top w:val="nil"/>
              <w:left w:val="nil"/>
              <w:bottom w:val="nil"/>
              <w:right w:val="nil"/>
            </w:tcBorders>
            <w:tcMar>
              <w:top w:w="0" w:type="dxa"/>
              <w:left w:w="100" w:type="dxa"/>
              <w:bottom w:w="0" w:type="dxa"/>
              <w:right w:w="100" w:type="dxa"/>
            </w:tcMar>
          </w:tcPr>
          <w:p w14:paraId="1A4F881E"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SES</w:t>
            </w:r>
          </w:p>
        </w:tc>
        <w:tc>
          <w:tcPr>
            <w:tcW w:w="2385" w:type="dxa"/>
            <w:tcBorders>
              <w:top w:val="nil"/>
              <w:left w:val="nil"/>
              <w:bottom w:val="nil"/>
              <w:right w:val="nil"/>
            </w:tcBorders>
            <w:tcMar>
              <w:top w:w="0" w:type="dxa"/>
              <w:left w:w="100" w:type="dxa"/>
              <w:bottom w:w="0" w:type="dxa"/>
              <w:right w:w="100" w:type="dxa"/>
            </w:tcMar>
          </w:tcPr>
          <w:p w14:paraId="7825A250"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occupation</w:t>
            </w:r>
          </w:p>
        </w:tc>
        <w:tc>
          <w:tcPr>
            <w:tcW w:w="3780" w:type="dxa"/>
            <w:tcBorders>
              <w:top w:val="nil"/>
              <w:left w:val="nil"/>
              <w:bottom w:val="nil"/>
              <w:right w:val="nil"/>
            </w:tcBorders>
            <w:tcMar>
              <w:top w:w="0" w:type="dxa"/>
              <w:left w:w="100" w:type="dxa"/>
              <w:bottom w:w="0" w:type="dxa"/>
              <w:right w:w="100" w:type="dxa"/>
            </w:tcMar>
          </w:tcPr>
          <w:p w14:paraId="56D0D8D6"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Parents’ activity or profession</w:t>
            </w:r>
          </w:p>
        </w:tc>
        <w:tc>
          <w:tcPr>
            <w:tcW w:w="1650" w:type="dxa"/>
            <w:tcBorders>
              <w:top w:val="nil"/>
              <w:left w:val="nil"/>
              <w:bottom w:val="nil"/>
              <w:right w:val="nil"/>
            </w:tcBorders>
            <w:tcMar>
              <w:top w:w="0" w:type="dxa"/>
              <w:left w:w="100" w:type="dxa"/>
              <w:bottom w:w="0" w:type="dxa"/>
              <w:right w:w="100" w:type="dxa"/>
            </w:tcMar>
          </w:tcPr>
          <w:p w14:paraId="251B7AA9"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84 (47%)</w:t>
            </w:r>
          </w:p>
        </w:tc>
      </w:tr>
      <w:tr w:rsidR="007F49F8" w14:paraId="19CBE13E" w14:textId="77777777">
        <w:trPr>
          <w:trHeight w:val="645"/>
        </w:trPr>
        <w:tc>
          <w:tcPr>
            <w:tcW w:w="1335" w:type="dxa"/>
            <w:tcBorders>
              <w:top w:val="nil"/>
              <w:left w:val="nil"/>
              <w:bottom w:val="nil"/>
              <w:right w:val="nil"/>
            </w:tcBorders>
            <w:tcMar>
              <w:top w:w="0" w:type="dxa"/>
              <w:left w:w="100" w:type="dxa"/>
              <w:bottom w:w="0" w:type="dxa"/>
              <w:right w:w="100" w:type="dxa"/>
            </w:tcMar>
          </w:tcPr>
          <w:p w14:paraId="12BD2430"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Urbanization</w:t>
            </w:r>
          </w:p>
        </w:tc>
        <w:tc>
          <w:tcPr>
            <w:tcW w:w="2385" w:type="dxa"/>
            <w:tcBorders>
              <w:top w:val="nil"/>
              <w:left w:val="nil"/>
              <w:bottom w:val="nil"/>
              <w:right w:val="nil"/>
            </w:tcBorders>
            <w:tcMar>
              <w:top w:w="0" w:type="dxa"/>
              <w:left w:w="100" w:type="dxa"/>
              <w:bottom w:w="0" w:type="dxa"/>
              <w:right w:w="100" w:type="dxa"/>
            </w:tcMar>
          </w:tcPr>
          <w:p w14:paraId="7D2213F5"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Type of community</w:t>
            </w:r>
          </w:p>
        </w:tc>
        <w:tc>
          <w:tcPr>
            <w:tcW w:w="3780" w:type="dxa"/>
            <w:tcBorders>
              <w:top w:val="nil"/>
              <w:left w:val="nil"/>
              <w:bottom w:val="nil"/>
              <w:right w:val="nil"/>
            </w:tcBorders>
            <w:tcMar>
              <w:top w:w="0" w:type="dxa"/>
              <w:left w:w="100" w:type="dxa"/>
              <w:bottom w:w="0" w:type="dxa"/>
              <w:right w:w="100" w:type="dxa"/>
            </w:tcMar>
          </w:tcPr>
          <w:p w14:paraId="1F64ABFF"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Urban, rural, mixed</w:t>
            </w:r>
          </w:p>
        </w:tc>
        <w:tc>
          <w:tcPr>
            <w:tcW w:w="1650" w:type="dxa"/>
            <w:tcBorders>
              <w:top w:val="nil"/>
              <w:left w:val="nil"/>
              <w:bottom w:val="nil"/>
              <w:right w:val="nil"/>
            </w:tcBorders>
            <w:tcMar>
              <w:top w:w="0" w:type="dxa"/>
              <w:left w:w="100" w:type="dxa"/>
              <w:bottom w:w="0" w:type="dxa"/>
              <w:right w:w="100" w:type="dxa"/>
            </w:tcMar>
          </w:tcPr>
          <w:p w14:paraId="74271134"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65 (36%)</w:t>
            </w:r>
          </w:p>
        </w:tc>
      </w:tr>
      <w:tr w:rsidR="007F49F8" w14:paraId="0D1E3B80" w14:textId="77777777">
        <w:trPr>
          <w:trHeight w:val="2055"/>
        </w:trPr>
        <w:tc>
          <w:tcPr>
            <w:tcW w:w="1335" w:type="dxa"/>
            <w:tcBorders>
              <w:top w:val="nil"/>
              <w:left w:val="nil"/>
              <w:bottom w:val="nil"/>
              <w:right w:val="nil"/>
            </w:tcBorders>
            <w:tcMar>
              <w:top w:w="0" w:type="dxa"/>
              <w:left w:w="100" w:type="dxa"/>
              <w:bottom w:w="0" w:type="dxa"/>
              <w:right w:w="100" w:type="dxa"/>
            </w:tcMar>
          </w:tcPr>
          <w:p w14:paraId="3D8CC9FC"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Family structure</w:t>
            </w:r>
          </w:p>
        </w:tc>
        <w:tc>
          <w:tcPr>
            <w:tcW w:w="2385" w:type="dxa"/>
            <w:tcBorders>
              <w:top w:val="nil"/>
              <w:left w:val="nil"/>
              <w:bottom w:val="nil"/>
              <w:right w:val="nil"/>
            </w:tcBorders>
            <w:tcMar>
              <w:top w:w="0" w:type="dxa"/>
              <w:left w:w="100" w:type="dxa"/>
              <w:bottom w:w="0" w:type="dxa"/>
              <w:right w:w="100" w:type="dxa"/>
            </w:tcMar>
          </w:tcPr>
          <w:p w14:paraId="5D2DA6CE"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Household composition</w:t>
            </w:r>
          </w:p>
        </w:tc>
        <w:tc>
          <w:tcPr>
            <w:tcW w:w="3780" w:type="dxa"/>
            <w:tcBorders>
              <w:top w:val="nil"/>
              <w:left w:val="nil"/>
              <w:bottom w:val="nil"/>
              <w:right w:val="nil"/>
            </w:tcBorders>
            <w:tcMar>
              <w:top w:w="0" w:type="dxa"/>
              <w:left w:w="100" w:type="dxa"/>
              <w:bottom w:w="0" w:type="dxa"/>
              <w:right w:w="100" w:type="dxa"/>
            </w:tcMar>
          </w:tcPr>
          <w:p w14:paraId="3B651A0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the family was composed primarily of caregivers and children (nuclear) or also included other family members: grandparents, cousins, uncles, and aunts (extended)</w:t>
            </w:r>
          </w:p>
        </w:tc>
        <w:tc>
          <w:tcPr>
            <w:tcW w:w="1650" w:type="dxa"/>
            <w:tcBorders>
              <w:top w:val="nil"/>
              <w:left w:val="nil"/>
              <w:bottom w:val="nil"/>
              <w:right w:val="nil"/>
            </w:tcBorders>
            <w:tcMar>
              <w:top w:w="0" w:type="dxa"/>
              <w:left w:w="100" w:type="dxa"/>
              <w:bottom w:w="0" w:type="dxa"/>
              <w:right w:w="100" w:type="dxa"/>
            </w:tcMar>
          </w:tcPr>
          <w:p w14:paraId="30A38B28"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69 (38%)</w:t>
            </w:r>
          </w:p>
        </w:tc>
      </w:tr>
      <w:tr w:rsidR="007F49F8" w14:paraId="179562D6" w14:textId="77777777">
        <w:trPr>
          <w:trHeight w:val="930"/>
        </w:trPr>
        <w:tc>
          <w:tcPr>
            <w:tcW w:w="1335" w:type="dxa"/>
            <w:tcBorders>
              <w:top w:val="nil"/>
              <w:left w:val="nil"/>
              <w:bottom w:val="nil"/>
              <w:right w:val="nil"/>
            </w:tcBorders>
            <w:tcMar>
              <w:top w:w="0" w:type="dxa"/>
              <w:left w:w="100" w:type="dxa"/>
              <w:bottom w:w="0" w:type="dxa"/>
              <w:right w:w="100" w:type="dxa"/>
            </w:tcMar>
          </w:tcPr>
          <w:p w14:paraId="5BDD594B"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structure</w:t>
            </w:r>
          </w:p>
        </w:tc>
        <w:tc>
          <w:tcPr>
            <w:tcW w:w="2385" w:type="dxa"/>
            <w:tcBorders>
              <w:top w:val="nil"/>
              <w:left w:val="nil"/>
              <w:bottom w:val="nil"/>
              <w:right w:val="nil"/>
            </w:tcBorders>
            <w:tcMar>
              <w:top w:w="0" w:type="dxa"/>
              <w:left w:w="100" w:type="dxa"/>
              <w:bottom w:w="0" w:type="dxa"/>
              <w:right w:w="100" w:type="dxa"/>
            </w:tcMar>
          </w:tcPr>
          <w:p w14:paraId="55B76A23"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Percent children with sibling(s)</w:t>
            </w:r>
          </w:p>
        </w:tc>
        <w:tc>
          <w:tcPr>
            <w:tcW w:w="3780" w:type="dxa"/>
            <w:tcBorders>
              <w:top w:val="nil"/>
              <w:left w:val="nil"/>
              <w:bottom w:val="nil"/>
              <w:right w:val="nil"/>
            </w:tcBorders>
            <w:tcMar>
              <w:top w:w="0" w:type="dxa"/>
              <w:left w:w="100" w:type="dxa"/>
              <w:bottom w:w="0" w:type="dxa"/>
              <w:right w:w="100" w:type="dxa"/>
            </w:tcMar>
          </w:tcPr>
          <w:p w14:paraId="786F9D06"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percentage of children in the corpus who had at least one sibling</w:t>
            </w:r>
          </w:p>
        </w:tc>
        <w:tc>
          <w:tcPr>
            <w:tcW w:w="1650" w:type="dxa"/>
            <w:tcBorders>
              <w:top w:val="nil"/>
              <w:left w:val="nil"/>
              <w:bottom w:val="nil"/>
              <w:right w:val="nil"/>
            </w:tcBorders>
            <w:tcMar>
              <w:top w:w="0" w:type="dxa"/>
              <w:left w:w="100" w:type="dxa"/>
              <w:bottom w:w="0" w:type="dxa"/>
              <w:right w:w="100" w:type="dxa"/>
            </w:tcMar>
          </w:tcPr>
          <w:p w14:paraId="6CE7E6FD"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93 (52%)</w:t>
            </w:r>
          </w:p>
        </w:tc>
      </w:tr>
      <w:tr w:rsidR="007F49F8" w14:paraId="2CD611CB" w14:textId="77777777">
        <w:trPr>
          <w:trHeight w:val="1200"/>
        </w:trPr>
        <w:tc>
          <w:tcPr>
            <w:tcW w:w="1335" w:type="dxa"/>
            <w:tcBorders>
              <w:top w:val="nil"/>
              <w:left w:val="nil"/>
              <w:bottom w:val="nil"/>
              <w:right w:val="nil"/>
            </w:tcBorders>
            <w:tcMar>
              <w:top w:w="0" w:type="dxa"/>
              <w:left w:w="100" w:type="dxa"/>
              <w:bottom w:w="0" w:type="dxa"/>
              <w:right w:w="100" w:type="dxa"/>
            </w:tcMar>
          </w:tcPr>
          <w:p w14:paraId="58FD670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Family structure</w:t>
            </w:r>
          </w:p>
        </w:tc>
        <w:tc>
          <w:tcPr>
            <w:tcW w:w="2385" w:type="dxa"/>
            <w:tcBorders>
              <w:top w:val="nil"/>
              <w:left w:val="nil"/>
              <w:bottom w:val="nil"/>
              <w:right w:val="nil"/>
            </w:tcBorders>
            <w:tcMar>
              <w:top w:w="0" w:type="dxa"/>
              <w:left w:w="100" w:type="dxa"/>
              <w:bottom w:w="0" w:type="dxa"/>
              <w:right w:w="100" w:type="dxa"/>
            </w:tcMar>
          </w:tcPr>
          <w:p w14:paraId="0C65AB9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Average number of siblings</w:t>
            </w:r>
          </w:p>
        </w:tc>
        <w:tc>
          <w:tcPr>
            <w:tcW w:w="3780" w:type="dxa"/>
            <w:tcBorders>
              <w:top w:val="nil"/>
              <w:left w:val="nil"/>
              <w:bottom w:val="nil"/>
              <w:right w:val="nil"/>
            </w:tcBorders>
            <w:tcMar>
              <w:top w:w="0" w:type="dxa"/>
              <w:left w:w="100" w:type="dxa"/>
              <w:bottom w:w="0" w:type="dxa"/>
              <w:right w:w="100" w:type="dxa"/>
            </w:tcMar>
          </w:tcPr>
          <w:p w14:paraId="3373AC79" w14:textId="316B5B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many </w:t>
            </w:r>
            <w:r w:rsidR="006A37D6">
              <w:rPr>
                <w:rFonts w:ascii="Times New Roman" w:eastAsia="Times New Roman" w:hAnsi="Times New Roman" w:cs="Times New Roman"/>
                <w:sz w:val="24"/>
                <w:szCs w:val="24"/>
              </w:rPr>
              <w:t>siblings’</w:t>
            </w:r>
            <w:r>
              <w:rPr>
                <w:rFonts w:ascii="Times New Roman" w:eastAsia="Times New Roman" w:hAnsi="Times New Roman" w:cs="Times New Roman"/>
                <w:sz w:val="24"/>
                <w:szCs w:val="24"/>
              </w:rPr>
              <w:t xml:space="preserve"> children had on average (including children with zero siblings)</w:t>
            </w:r>
          </w:p>
        </w:tc>
        <w:tc>
          <w:tcPr>
            <w:tcW w:w="1650" w:type="dxa"/>
            <w:tcBorders>
              <w:top w:val="nil"/>
              <w:left w:val="nil"/>
              <w:bottom w:val="nil"/>
              <w:right w:val="nil"/>
            </w:tcBorders>
            <w:tcMar>
              <w:top w:w="0" w:type="dxa"/>
              <w:left w:w="100" w:type="dxa"/>
              <w:bottom w:w="0" w:type="dxa"/>
              <w:right w:w="100" w:type="dxa"/>
            </w:tcMar>
          </w:tcPr>
          <w:p w14:paraId="77AC6CC7"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83 (46%)</w:t>
            </w:r>
          </w:p>
        </w:tc>
      </w:tr>
      <w:tr w:rsidR="007F49F8" w14:paraId="23B2FBD5" w14:textId="77777777">
        <w:trPr>
          <w:trHeight w:val="930"/>
        </w:trPr>
        <w:tc>
          <w:tcPr>
            <w:tcW w:w="1335" w:type="dxa"/>
            <w:tcBorders>
              <w:top w:val="nil"/>
              <w:left w:val="nil"/>
              <w:bottom w:val="nil"/>
              <w:right w:val="nil"/>
            </w:tcBorders>
            <w:tcMar>
              <w:top w:w="0" w:type="dxa"/>
              <w:left w:w="100" w:type="dxa"/>
              <w:bottom w:w="0" w:type="dxa"/>
              <w:right w:w="100" w:type="dxa"/>
            </w:tcMar>
          </w:tcPr>
          <w:p w14:paraId="2B756A32"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w:t>
            </w:r>
          </w:p>
        </w:tc>
        <w:tc>
          <w:tcPr>
            <w:tcW w:w="2385" w:type="dxa"/>
            <w:tcBorders>
              <w:top w:val="nil"/>
              <w:left w:val="nil"/>
              <w:bottom w:val="nil"/>
              <w:right w:val="nil"/>
            </w:tcBorders>
            <w:tcMar>
              <w:top w:w="0" w:type="dxa"/>
              <w:left w:w="100" w:type="dxa"/>
              <w:bottom w:w="0" w:type="dxa"/>
              <w:right w:w="100" w:type="dxa"/>
            </w:tcMar>
          </w:tcPr>
          <w:p w14:paraId="5277C4A6"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spoken</w:t>
            </w:r>
          </w:p>
        </w:tc>
        <w:tc>
          <w:tcPr>
            <w:tcW w:w="3780" w:type="dxa"/>
            <w:tcBorders>
              <w:top w:val="nil"/>
              <w:left w:val="nil"/>
              <w:bottom w:val="nil"/>
              <w:right w:val="nil"/>
            </w:tcBorders>
            <w:tcMar>
              <w:top w:w="0" w:type="dxa"/>
              <w:left w:w="100" w:type="dxa"/>
              <w:bottom w:w="0" w:type="dxa"/>
              <w:right w:w="100" w:type="dxa"/>
            </w:tcMar>
          </w:tcPr>
          <w:p w14:paraId="57BFEEE4"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Which languages were spoken in the transcripts and by the family</w:t>
            </w:r>
          </w:p>
        </w:tc>
        <w:tc>
          <w:tcPr>
            <w:tcW w:w="1650" w:type="dxa"/>
            <w:tcBorders>
              <w:top w:val="nil"/>
              <w:left w:val="nil"/>
              <w:bottom w:val="nil"/>
              <w:right w:val="nil"/>
            </w:tcBorders>
            <w:tcMar>
              <w:top w:w="0" w:type="dxa"/>
              <w:left w:w="100" w:type="dxa"/>
              <w:bottom w:w="0" w:type="dxa"/>
              <w:right w:w="100" w:type="dxa"/>
            </w:tcMar>
          </w:tcPr>
          <w:p w14:paraId="793C91D1"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180 (100%)</w:t>
            </w:r>
          </w:p>
        </w:tc>
      </w:tr>
      <w:tr w:rsidR="007F49F8" w14:paraId="3BE9BA0B" w14:textId="77777777">
        <w:trPr>
          <w:trHeight w:val="1785"/>
        </w:trPr>
        <w:tc>
          <w:tcPr>
            <w:tcW w:w="1335" w:type="dxa"/>
            <w:tcBorders>
              <w:top w:val="nil"/>
              <w:left w:val="nil"/>
              <w:bottom w:val="single" w:sz="7" w:space="0" w:color="000000"/>
              <w:right w:val="nil"/>
            </w:tcBorders>
            <w:tcMar>
              <w:top w:w="0" w:type="dxa"/>
              <w:left w:w="100" w:type="dxa"/>
              <w:bottom w:w="0" w:type="dxa"/>
              <w:right w:w="100" w:type="dxa"/>
            </w:tcMar>
          </w:tcPr>
          <w:p w14:paraId="2473EC6D"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w:t>
            </w:r>
          </w:p>
        </w:tc>
        <w:tc>
          <w:tcPr>
            <w:tcW w:w="2385" w:type="dxa"/>
            <w:tcBorders>
              <w:top w:val="nil"/>
              <w:left w:val="nil"/>
              <w:bottom w:val="single" w:sz="7" w:space="0" w:color="000000"/>
              <w:right w:val="nil"/>
            </w:tcBorders>
            <w:tcMar>
              <w:top w:w="0" w:type="dxa"/>
              <w:left w:w="100" w:type="dxa"/>
              <w:bottom w:w="0" w:type="dxa"/>
              <w:right w:w="100" w:type="dxa"/>
            </w:tcMar>
          </w:tcPr>
          <w:p w14:paraId="0E41E778"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Lingual status</w:t>
            </w:r>
          </w:p>
        </w:tc>
        <w:tc>
          <w:tcPr>
            <w:tcW w:w="3780" w:type="dxa"/>
            <w:tcBorders>
              <w:top w:val="nil"/>
              <w:left w:val="nil"/>
              <w:bottom w:val="single" w:sz="7" w:space="0" w:color="000000"/>
              <w:right w:val="nil"/>
            </w:tcBorders>
            <w:tcMar>
              <w:top w:w="0" w:type="dxa"/>
              <w:left w:w="100" w:type="dxa"/>
              <w:bottom w:w="0" w:type="dxa"/>
              <w:right w:w="100" w:type="dxa"/>
            </w:tcMar>
          </w:tcPr>
          <w:p w14:paraId="1159A037"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Whether more than one language is spoken in the corpus (regardless of how many languages are spoken in the family or the community at large)</w:t>
            </w:r>
          </w:p>
        </w:tc>
        <w:tc>
          <w:tcPr>
            <w:tcW w:w="1650" w:type="dxa"/>
            <w:tcBorders>
              <w:top w:val="nil"/>
              <w:left w:val="nil"/>
              <w:bottom w:val="single" w:sz="7" w:space="0" w:color="000000"/>
              <w:right w:val="nil"/>
            </w:tcBorders>
            <w:tcMar>
              <w:top w:w="0" w:type="dxa"/>
              <w:left w:w="100" w:type="dxa"/>
              <w:bottom w:w="0" w:type="dxa"/>
              <w:right w:w="100" w:type="dxa"/>
            </w:tcMar>
          </w:tcPr>
          <w:p w14:paraId="36642B9B" w14:textId="77777777" w:rsidR="007F49F8" w:rsidRDefault="00000000">
            <w:pPr>
              <w:spacing w:before="180" w:after="18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110 (61%)</w:t>
            </w:r>
          </w:p>
        </w:tc>
      </w:tr>
    </w:tbl>
    <w:p w14:paraId="1092FE95" w14:textId="77777777" w:rsidR="007F49F8" w:rsidRDefault="007F49F8">
      <w:pPr>
        <w:spacing w:line="480" w:lineRule="auto"/>
        <w:rPr>
          <w:rFonts w:ascii="Times New Roman" w:eastAsia="Times New Roman" w:hAnsi="Times New Roman" w:cs="Times New Roman"/>
          <w:i/>
          <w:sz w:val="24"/>
          <w:szCs w:val="24"/>
        </w:rPr>
      </w:pPr>
    </w:p>
    <w:p w14:paraId="723D51A6" w14:textId="77777777" w:rsidR="007F49F8" w:rsidRDefault="007F49F8">
      <w:pPr>
        <w:pStyle w:val="Heading4"/>
        <w:shd w:val="clear" w:color="auto" w:fill="FFFFFF"/>
      </w:pPr>
      <w:bookmarkStart w:id="13" w:name="_ig7etai4t9vt" w:colFirst="0" w:colLast="0"/>
      <w:bookmarkEnd w:id="13"/>
    </w:p>
    <w:p w14:paraId="35723DFF" w14:textId="77777777" w:rsidR="007F49F8" w:rsidRDefault="00000000">
      <w:pPr>
        <w:pStyle w:val="Heading4"/>
        <w:shd w:val="clear" w:color="auto" w:fill="FFFFFF"/>
        <w:rPr>
          <w:color w:val="000000"/>
        </w:rPr>
      </w:pPr>
      <w:bookmarkStart w:id="14" w:name="_i5yq0hhbenwv" w:colFirst="0" w:colLast="0"/>
      <w:bookmarkEnd w:id="14"/>
      <w:r>
        <w:rPr>
          <w:color w:val="000000"/>
        </w:rPr>
        <w:t>S</w:t>
      </w:r>
      <w:r>
        <w:t>ocio-economic Status: SE</w:t>
      </w:r>
      <w:r>
        <w:rPr>
          <w:color w:val="000000"/>
        </w:rPr>
        <w:t>S, Education, and Occupation</w:t>
      </w:r>
    </w:p>
    <w:p w14:paraId="7AC140AA" w14:textId="7405341C" w:rsidR="007F49F8" w:rsidRDefault="006A37D6">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Most corpora provided global SES information. Among these, the vast majority of families were of middle or higher SES. Although about a fifth of the corpora were described as a mixed sample spanning lower to middle or higher SES, a very small percentage were described as families of low SES. As we show in SM2, this general distribution over-represents higher SES families. </w:t>
      </w:r>
    </w:p>
    <w:p w14:paraId="62DAC293"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smaller proportion of corpora (additionally) reported parental education level (Figure 3). Among them, three-quarters included at least some children whose parents had a graduate or postgraduate degree. In fact, over half of the corpora did not contain data from any children whose parents had not completed a graduate degree. Overall, more educated parents are overrepresented given the source countries, which is reinforced by the observations that p</w:t>
      </w:r>
      <w:r>
        <w:rPr>
          <w:rFonts w:ascii="Times New Roman" w:eastAsia="Times New Roman" w:hAnsi="Times New Roman" w:cs="Times New Roman"/>
          <w:sz w:val="24"/>
          <w:szCs w:val="24"/>
        </w:rPr>
        <w:t xml:space="preserve">arents had professions linked to graduate-level education in over half of corpora </w:t>
      </w:r>
      <w:r>
        <w:rPr>
          <w:rFonts w:ascii="Times New Roman" w:eastAsia="Times New Roman" w:hAnsi="Times New Roman" w:cs="Times New Roman"/>
          <w:sz w:val="24"/>
          <w:szCs w:val="24"/>
          <w:highlight w:val="white"/>
        </w:rPr>
        <w:t>(see SM3).</w:t>
      </w:r>
    </w:p>
    <w:p w14:paraId="7D677550" w14:textId="77777777" w:rsidR="007F49F8" w:rsidRDefault="007F49F8">
      <w:pPr>
        <w:shd w:val="clear" w:color="auto" w:fill="FFFFFF"/>
        <w:spacing w:line="480" w:lineRule="auto"/>
        <w:ind w:firstLine="720"/>
        <w:rPr>
          <w:rFonts w:ascii="Times New Roman" w:eastAsia="Times New Roman" w:hAnsi="Times New Roman" w:cs="Times New Roman"/>
          <w:sz w:val="24"/>
          <w:szCs w:val="24"/>
          <w:highlight w:val="white"/>
        </w:rPr>
      </w:pPr>
    </w:p>
    <w:p w14:paraId="050C7E32" w14:textId="77777777" w:rsidR="007F49F8" w:rsidRDefault="00000000">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48433B2C" wp14:editId="5641F2CE">
            <wp:extent cx="5943600" cy="40894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43600" cy="4089400"/>
                    </a:xfrm>
                    <a:prstGeom prst="rect">
                      <a:avLst/>
                    </a:prstGeom>
                    <a:ln/>
                  </pic:spPr>
                </pic:pic>
              </a:graphicData>
            </a:graphic>
          </wp:inline>
        </w:drawing>
      </w:r>
    </w:p>
    <w:p w14:paraId="4B51E8A7" w14:textId="77777777" w:rsidR="007F49F8"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highlight w:val="white"/>
        </w:rPr>
        <w:t>Figure 3.</w:t>
      </w:r>
      <w:r>
        <w:rPr>
          <w:rFonts w:ascii="Times New Roman" w:eastAsia="Times New Roman" w:hAnsi="Times New Roman" w:cs="Times New Roman"/>
          <w:i/>
          <w:sz w:val="24"/>
          <w:szCs w:val="24"/>
          <w:highlight w:val="white"/>
        </w:rPr>
        <w:t xml:space="preserve"> Distribution of Minimum Levels of Parental Education by Country. </w:t>
      </w:r>
      <w:r>
        <w:rPr>
          <w:rFonts w:ascii="Times New Roman" w:eastAsia="Times New Roman" w:hAnsi="Times New Roman" w:cs="Times New Roman"/>
          <w:sz w:val="24"/>
          <w:szCs w:val="24"/>
          <w:highlight w:val="white"/>
        </w:rPr>
        <w:t xml:space="preserve"> "Spain &amp; Hungary" corresponds to a corpus collected in two countries. The same applies for Figures 4-7.  </w:t>
      </w:r>
    </w:p>
    <w:p w14:paraId="20573A1E" w14:textId="77777777" w:rsidR="007F49F8" w:rsidRDefault="007F49F8">
      <w:pPr>
        <w:pStyle w:val="Heading4"/>
        <w:shd w:val="clear" w:color="auto" w:fill="FFFFFF"/>
      </w:pPr>
      <w:bookmarkStart w:id="15" w:name="_f3ulmcpqo077" w:colFirst="0" w:colLast="0"/>
      <w:bookmarkEnd w:id="15"/>
    </w:p>
    <w:p w14:paraId="4D5D5682" w14:textId="77777777" w:rsidR="007F49F8" w:rsidRDefault="00000000">
      <w:pPr>
        <w:pStyle w:val="Heading4"/>
        <w:shd w:val="clear" w:color="auto" w:fill="FFFFFF"/>
        <w:rPr>
          <w:color w:val="000000"/>
        </w:rPr>
      </w:pPr>
      <w:bookmarkStart w:id="16" w:name="_5lk3urw053cw" w:colFirst="0" w:colLast="0"/>
      <w:bookmarkEnd w:id="16"/>
      <w:r>
        <w:rPr>
          <w:color w:val="000000"/>
        </w:rPr>
        <w:t>Urbanization</w:t>
      </w:r>
    </w:p>
    <w:p w14:paraId="10CC8941"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majority of corpora were urban (Figure 4), with an over-representation of urban households given the source countries (see SM4). </w:t>
      </w:r>
    </w:p>
    <w:p w14:paraId="11BA35CB" w14:textId="77777777" w:rsidR="007F49F8" w:rsidRDefault="007F49F8">
      <w:pPr>
        <w:shd w:val="clear" w:color="auto" w:fill="FFFFFF"/>
        <w:spacing w:line="480" w:lineRule="auto"/>
        <w:rPr>
          <w:rFonts w:ascii="Times New Roman" w:eastAsia="Times New Roman" w:hAnsi="Times New Roman" w:cs="Times New Roman"/>
          <w:sz w:val="24"/>
          <w:szCs w:val="24"/>
          <w:highlight w:val="white"/>
        </w:rPr>
      </w:pPr>
    </w:p>
    <w:p w14:paraId="2FAE628C"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lastRenderedPageBreak/>
        <w:drawing>
          <wp:inline distT="114300" distB="114300" distL="114300" distR="114300" wp14:anchorId="3B0CB149" wp14:editId="70FA1F4C">
            <wp:extent cx="5943600" cy="4089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089400"/>
                    </a:xfrm>
                    <a:prstGeom prst="rect">
                      <a:avLst/>
                    </a:prstGeom>
                    <a:ln/>
                  </pic:spPr>
                </pic:pic>
              </a:graphicData>
            </a:graphic>
          </wp:inline>
        </w:drawing>
      </w:r>
    </w:p>
    <w:p w14:paraId="5007585E"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Distribution of Type of Community by Country. </w:t>
      </w:r>
      <w:r>
        <w:rPr>
          <w:rFonts w:ascii="Times New Roman" w:eastAsia="Times New Roman" w:hAnsi="Times New Roman" w:cs="Times New Roman"/>
          <w:sz w:val="24"/>
          <w:szCs w:val="24"/>
          <w:highlight w:val="white"/>
        </w:rPr>
        <w:t xml:space="preserve"> </w:t>
      </w:r>
    </w:p>
    <w:p w14:paraId="44D6013D" w14:textId="77777777" w:rsidR="007F49F8" w:rsidRDefault="007F49F8">
      <w:pPr>
        <w:shd w:val="clear" w:color="auto" w:fill="FFFFFF"/>
        <w:spacing w:line="480" w:lineRule="auto"/>
        <w:rPr>
          <w:rFonts w:ascii="Times New Roman" w:eastAsia="Times New Roman" w:hAnsi="Times New Roman" w:cs="Times New Roman"/>
          <w:sz w:val="24"/>
          <w:szCs w:val="24"/>
          <w:highlight w:val="white"/>
        </w:rPr>
      </w:pPr>
    </w:p>
    <w:p w14:paraId="60FA5AFF" w14:textId="77777777" w:rsidR="007F49F8" w:rsidRDefault="00000000">
      <w:pPr>
        <w:pStyle w:val="Heading4"/>
        <w:shd w:val="clear" w:color="auto" w:fill="FFFFFF"/>
        <w:rPr>
          <w:color w:val="000000"/>
        </w:rPr>
      </w:pPr>
      <w:bookmarkStart w:id="17" w:name="_81fkg27sqse5" w:colFirst="0" w:colLast="0"/>
      <w:bookmarkEnd w:id="17"/>
      <w:r>
        <w:rPr>
          <w:color w:val="000000"/>
        </w:rPr>
        <w:t xml:space="preserve">Family </w:t>
      </w:r>
      <w:r>
        <w:t>S</w:t>
      </w:r>
      <w:r>
        <w:rPr>
          <w:color w:val="000000"/>
        </w:rPr>
        <w:t>tructure: Household composition</w:t>
      </w:r>
      <w:r>
        <w:t xml:space="preserve"> and number of siblings</w:t>
      </w:r>
      <w:r>
        <w:rPr>
          <w:color w:val="000000"/>
        </w:rPr>
        <w:t xml:space="preserve"> </w:t>
      </w:r>
    </w:p>
    <w:p w14:paraId="7F81E0AB" w14:textId="77777777" w:rsidR="007F49F8" w:rsidRDefault="00000000">
      <w:pPr>
        <w:shd w:val="clear" w:color="auto" w:fill="FFFFFF"/>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Figure 5 shows, the overwhelming majority of corpora contained only nuclear families (i.e., parents and their children), and only a tiny percentage had a mix of nuclear and extended families. We were not able to find a systematic database allowing us to check whether this was representative of the source countries. </w:t>
      </w:r>
    </w:p>
    <w:p w14:paraId="3494FFE0" w14:textId="77777777" w:rsidR="007F49F8" w:rsidRDefault="007F49F8">
      <w:pPr>
        <w:spacing w:line="480" w:lineRule="auto"/>
        <w:rPr>
          <w:rFonts w:ascii="Times New Roman" w:eastAsia="Times New Roman" w:hAnsi="Times New Roman" w:cs="Times New Roman"/>
          <w:sz w:val="24"/>
          <w:szCs w:val="24"/>
        </w:rPr>
      </w:pPr>
    </w:p>
    <w:p w14:paraId="532902AD" w14:textId="77777777" w:rsidR="007F49F8" w:rsidRDefault="007F49F8">
      <w:pPr>
        <w:spacing w:line="480" w:lineRule="auto"/>
        <w:rPr>
          <w:rFonts w:ascii="Times New Roman" w:eastAsia="Times New Roman" w:hAnsi="Times New Roman" w:cs="Times New Roman"/>
          <w:sz w:val="24"/>
          <w:szCs w:val="24"/>
        </w:rPr>
      </w:pPr>
    </w:p>
    <w:p w14:paraId="67587991"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468FA863" wp14:editId="103BA886">
            <wp:extent cx="5943600" cy="40894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4089400"/>
                    </a:xfrm>
                    <a:prstGeom prst="rect">
                      <a:avLst/>
                    </a:prstGeom>
                    <a:ln/>
                  </pic:spPr>
                </pic:pic>
              </a:graphicData>
            </a:graphic>
          </wp:inline>
        </w:drawing>
      </w:r>
    </w:p>
    <w:p w14:paraId="483C9DE5" w14:textId="77777777" w:rsidR="007F49F8" w:rsidRDefault="007F49F8">
      <w:pPr>
        <w:spacing w:line="480" w:lineRule="auto"/>
        <w:rPr>
          <w:rFonts w:ascii="Times New Roman" w:eastAsia="Times New Roman" w:hAnsi="Times New Roman" w:cs="Times New Roman"/>
          <w:sz w:val="24"/>
          <w:szCs w:val="24"/>
        </w:rPr>
      </w:pPr>
    </w:p>
    <w:p w14:paraId="58823B72" w14:textId="77777777"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Figure 5.</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Distribution of Household Arrangement by Country</w:t>
      </w:r>
      <w:r>
        <w:rPr>
          <w:rFonts w:ascii="Times New Roman" w:eastAsia="Times New Roman" w:hAnsi="Times New Roman" w:cs="Times New Roman"/>
          <w:sz w:val="24"/>
          <w:szCs w:val="24"/>
          <w:highlight w:val="white"/>
        </w:rPr>
        <w:t>. "Sweden &amp; Portugal" corresponds to a corpus collected in two countries. The same applies for Figure 7.</w:t>
      </w:r>
    </w:p>
    <w:p w14:paraId="172F7BC7" w14:textId="77777777" w:rsidR="007F49F8" w:rsidRDefault="007F49F8">
      <w:pPr>
        <w:spacing w:line="480" w:lineRule="auto"/>
        <w:rPr>
          <w:rFonts w:ascii="Times New Roman" w:eastAsia="Times New Roman" w:hAnsi="Times New Roman" w:cs="Times New Roman"/>
          <w:sz w:val="24"/>
          <w:szCs w:val="24"/>
        </w:rPr>
      </w:pPr>
    </w:p>
    <w:p w14:paraId="13AC4255" w14:textId="77777777" w:rsidR="007F49F8" w:rsidRDefault="00000000">
      <w:pPr>
        <w:pStyle w:val="Heading4"/>
        <w:shd w:val="clear" w:color="auto" w:fill="FFFFFF"/>
        <w:rPr>
          <w:b w:val="0"/>
          <w:i w:val="0"/>
        </w:rPr>
      </w:pPr>
      <w:bookmarkStart w:id="18" w:name="_fk9f63d4xam8" w:colFirst="0" w:colLast="0"/>
      <w:bookmarkEnd w:id="18"/>
      <w:r>
        <w:rPr>
          <w:b w:val="0"/>
          <w:i w:val="0"/>
        </w:rPr>
        <w:t xml:space="preserve">About a quarter of the corpora in our CHILDES sample consist exclusively of singletons (children with no siblings), while the remaining include children who have at least one sibling (Figure 6). SM5 argues that this does not necessarily mean that singletons are underrepresented. </w:t>
      </w:r>
    </w:p>
    <w:p w14:paraId="527983D4" w14:textId="77777777" w:rsidR="007F49F8" w:rsidRDefault="007F49F8">
      <w:pPr>
        <w:pStyle w:val="Heading4"/>
        <w:shd w:val="clear" w:color="auto" w:fill="FFFFFF"/>
        <w:rPr>
          <w:b w:val="0"/>
          <w:i w:val="0"/>
        </w:rPr>
      </w:pPr>
      <w:bookmarkStart w:id="19" w:name="_wthwxdx242jr" w:colFirst="0" w:colLast="0"/>
      <w:bookmarkEnd w:id="19"/>
    </w:p>
    <w:p w14:paraId="1AC34AC3" w14:textId="77777777" w:rsidR="007F49F8" w:rsidRDefault="007F49F8">
      <w:pPr>
        <w:spacing w:line="480" w:lineRule="auto"/>
        <w:rPr>
          <w:rFonts w:ascii="Times New Roman" w:eastAsia="Times New Roman" w:hAnsi="Times New Roman" w:cs="Times New Roman"/>
          <w:sz w:val="24"/>
          <w:szCs w:val="24"/>
        </w:rPr>
      </w:pPr>
    </w:p>
    <w:p w14:paraId="5117E026"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5BBCC5E4" wp14:editId="740091EB">
            <wp:extent cx="5943600" cy="40894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4089400"/>
                    </a:xfrm>
                    <a:prstGeom prst="rect">
                      <a:avLst/>
                    </a:prstGeom>
                    <a:ln/>
                  </pic:spPr>
                </pic:pic>
              </a:graphicData>
            </a:graphic>
          </wp:inline>
        </w:drawing>
      </w:r>
    </w:p>
    <w:p w14:paraId="1BFEEC52" w14:textId="77777777" w:rsidR="007F49F8" w:rsidRDefault="007F49F8">
      <w:pPr>
        <w:spacing w:line="480" w:lineRule="auto"/>
        <w:rPr>
          <w:rFonts w:ascii="Times New Roman" w:eastAsia="Times New Roman" w:hAnsi="Times New Roman" w:cs="Times New Roman"/>
          <w:sz w:val="24"/>
          <w:szCs w:val="24"/>
        </w:rPr>
      </w:pPr>
    </w:p>
    <w:p w14:paraId="1DBCC974" w14:textId="77777777" w:rsidR="007F49F8" w:rsidRDefault="00000000">
      <w:pPr>
        <w:shd w:val="clear" w:color="auto" w:fill="FFFFFF"/>
        <w:spacing w:line="480" w:lineRule="auto"/>
        <w:rPr>
          <w:rFonts w:ascii="Times New Roman" w:eastAsia="Times New Roman" w:hAnsi="Times New Roman" w:cs="Times New Roman"/>
          <w:i/>
          <w:sz w:val="24"/>
          <w:szCs w:val="24"/>
          <w:highlight w:val="white"/>
        </w:rPr>
      </w:pPr>
      <w:r>
        <w:rPr>
          <w:rFonts w:ascii="Times New Roman" w:eastAsia="Times New Roman" w:hAnsi="Times New Roman" w:cs="Times New Roman"/>
          <w:b/>
          <w:sz w:val="24"/>
          <w:szCs w:val="24"/>
          <w:highlight w:val="white"/>
        </w:rPr>
        <w:t>Figure 6.</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 xml:space="preserve">Distribution of Singletons by Country.  </w:t>
      </w:r>
    </w:p>
    <w:p w14:paraId="6E891B70" w14:textId="77777777" w:rsidR="007F49F8" w:rsidRDefault="007F49F8">
      <w:pPr>
        <w:spacing w:line="480" w:lineRule="auto"/>
        <w:rPr>
          <w:rFonts w:ascii="Times New Roman" w:eastAsia="Times New Roman" w:hAnsi="Times New Roman" w:cs="Times New Roman"/>
          <w:sz w:val="24"/>
          <w:szCs w:val="24"/>
        </w:rPr>
      </w:pPr>
    </w:p>
    <w:p w14:paraId="1CEE8FA6" w14:textId="77777777" w:rsidR="007F49F8" w:rsidRDefault="00000000">
      <w:pPr>
        <w:pStyle w:val="Heading4"/>
        <w:shd w:val="clear" w:color="auto" w:fill="FFFFFF"/>
        <w:rPr>
          <w:color w:val="000000"/>
        </w:rPr>
      </w:pPr>
      <w:bookmarkStart w:id="20" w:name="_2b1a4imgjwrs" w:colFirst="0" w:colLast="0"/>
      <w:bookmarkEnd w:id="20"/>
      <w:r>
        <w:rPr>
          <w:color w:val="000000"/>
        </w:rPr>
        <w:t>Languages</w:t>
      </w:r>
    </w:p>
    <w:p w14:paraId="0709A5CE" w14:textId="38154013" w:rsidR="007F49F8" w:rsidRDefault="00000000">
      <w:pPr>
        <w:shd w:val="clear" w:color="auto" w:fill="FFFFFF"/>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find a total of 63 different languages or language combinations (for bilingual and multilingual children; see SM6). About a third of the included corpora were not monolingual. According to information in SM</w:t>
      </w:r>
      <w:r w:rsidR="006A37D6">
        <w:rPr>
          <w:rFonts w:ascii="Times New Roman" w:eastAsia="Times New Roman" w:hAnsi="Times New Roman" w:cs="Times New Roman"/>
          <w:sz w:val="24"/>
          <w:szCs w:val="24"/>
          <w:highlight w:val="white"/>
        </w:rPr>
        <w:t>7, our</w:t>
      </w:r>
      <w:r>
        <w:rPr>
          <w:rFonts w:ascii="Times New Roman" w:eastAsia="Times New Roman" w:hAnsi="Times New Roman" w:cs="Times New Roman"/>
          <w:sz w:val="24"/>
          <w:szCs w:val="24"/>
          <w:highlight w:val="white"/>
        </w:rPr>
        <w:t xml:space="preserve"> sample of CHILDES underrepresents bilingual and multilingual households in the world. </w:t>
      </w:r>
    </w:p>
    <w:p w14:paraId="182A82CA" w14:textId="77777777" w:rsidR="007F49F8" w:rsidRDefault="00000000">
      <w:pPr>
        <w:shd w:val="clear" w:color="auto" w:fill="FFFFFF"/>
        <w:spacing w:before="180" w:after="240" w:line="480" w:lineRule="auto"/>
        <w:ind w:firstLine="68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for linguistic diversity, most of the corpora pertain to Indo-European languages (Figure 7). English is the most prevalent language, both in terms of the number of children and the number of corpora, with 50 corpora (30 exclusively monolingual), comprising 28% of the </w:t>
      </w:r>
      <w:r>
        <w:rPr>
          <w:rFonts w:ascii="Times New Roman" w:eastAsia="Times New Roman" w:hAnsi="Times New Roman" w:cs="Times New Roman"/>
          <w:sz w:val="24"/>
          <w:szCs w:val="24"/>
          <w:highlight w:val="white"/>
        </w:rPr>
        <w:lastRenderedPageBreak/>
        <w:t xml:space="preserve">included corpora. Additionally, it is the language most studied for bilingualism or multilingualism, with language combinations including Cantonese, Danish, Dutch, Farsi, French, Hebrew, Hungarian, Japanese, Mandarin, Portuguese, Russian, Spanish, and Swedish. The next most represented language in terms of different corpora is Spanish, with 25 corpora (14 monolingual). </w:t>
      </w:r>
    </w:p>
    <w:p w14:paraId="31E846A4" w14:textId="77777777" w:rsidR="007F49F8" w:rsidRDefault="00000000">
      <w:pPr>
        <w:shd w:val="clear" w:color="auto" w:fill="FFFFFF"/>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rPr>
        <w:drawing>
          <wp:inline distT="114300" distB="114300" distL="114300" distR="114300" wp14:anchorId="54EAD942" wp14:editId="509DA09A">
            <wp:extent cx="5943600" cy="408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943600" cy="4089400"/>
                    </a:xfrm>
                    <a:prstGeom prst="rect">
                      <a:avLst/>
                    </a:prstGeom>
                    <a:ln/>
                  </pic:spPr>
                </pic:pic>
              </a:graphicData>
            </a:graphic>
          </wp:inline>
        </w:drawing>
      </w:r>
    </w:p>
    <w:p w14:paraId="36EAD174" w14:textId="77777777" w:rsidR="007F49F8" w:rsidRDefault="00000000">
      <w:pPr>
        <w:shd w:val="clear" w:color="auto" w:fill="FFFFFF"/>
        <w:spacing w:line="480" w:lineRule="auto"/>
        <w:ind w:firstLine="720"/>
        <w:rPr>
          <w:rFonts w:ascii="Times New Roman" w:eastAsia="Times New Roman" w:hAnsi="Times New Roman" w:cs="Times New Roman"/>
          <w:i/>
          <w:sz w:val="24"/>
          <w:szCs w:val="24"/>
          <w:highlight w:val="white"/>
        </w:rPr>
      </w:pPr>
      <w:r>
        <w:rPr>
          <w:rFonts w:ascii="Times New Roman" w:eastAsia="Times New Roman" w:hAnsi="Times New Roman" w:cs="Times New Roman"/>
          <w:b/>
          <w:sz w:val="24"/>
          <w:szCs w:val="24"/>
          <w:highlight w:val="white"/>
        </w:rPr>
        <w:t>Figure 7.</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Distribution of Indo-European Languages by Country.</w:t>
      </w:r>
    </w:p>
    <w:p w14:paraId="69721ABE" w14:textId="77777777" w:rsidR="007F49F8" w:rsidRDefault="00000000">
      <w:pPr>
        <w:pStyle w:val="Heading1"/>
        <w:shd w:val="clear" w:color="auto" w:fill="auto"/>
        <w:spacing w:before="0" w:after="0"/>
        <w:ind w:firstLine="0"/>
        <w:jc w:val="center"/>
        <w:rPr>
          <w:rFonts w:ascii="Times New Roman" w:eastAsia="Times New Roman" w:hAnsi="Times New Roman" w:cs="Times New Roman"/>
          <w:b/>
          <w:sz w:val="24"/>
          <w:szCs w:val="24"/>
        </w:rPr>
      </w:pPr>
      <w:bookmarkStart w:id="21" w:name="_qg4j4qnv3i1n" w:colFirst="0" w:colLast="0"/>
      <w:bookmarkEnd w:id="21"/>
      <w:r>
        <w:br w:type="page"/>
      </w:r>
    </w:p>
    <w:p w14:paraId="5978CF6D" w14:textId="77777777" w:rsidR="007F49F8" w:rsidRDefault="00000000">
      <w:pPr>
        <w:pStyle w:val="Heading1"/>
        <w:shd w:val="clear" w:color="auto" w:fill="auto"/>
        <w:spacing w:before="0" w:after="0"/>
        <w:ind w:firstLine="0"/>
        <w:jc w:val="center"/>
        <w:rPr>
          <w:rFonts w:ascii="Times New Roman" w:eastAsia="Times New Roman" w:hAnsi="Times New Roman" w:cs="Times New Roman"/>
          <w:b/>
          <w:sz w:val="24"/>
          <w:szCs w:val="24"/>
        </w:rPr>
      </w:pPr>
      <w:bookmarkStart w:id="22" w:name="_ewuwa8c52l" w:colFirst="0" w:colLast="0"/>
      <w:bookmarkEnd w:id="22"/>
      <w:r>
        <w:rPr>
          <w:rFonts w:ascii="Times New Roman" w:eastAsia="Times New Roman" w:hAnsi="Times New Roman" w:cs="Times New Roman"/>
          <w:b/>
          <w:sz w:val="24"/>
          <w:szCs w:val="24"/>
        </w:rPr>
        <w:lastRenderedPageBreak/>
        <w:t>Discussion</w:t>
      </w:r>
    </w:p>
    <w:p w14:paraId="0ABA71BA" w14:textId="77777777" w:rsidR="007F49F8"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paper provides a systematic review of corpora relying on naturalistic recordings in the CHILDES database, a priceless public research resource. We assessed and characterized sampling bias by examining the database through four macro dimensions: SES, urbanization, family structure, and languages, all representing dimensions believed to be relevant for early language acquisition. We aimed to address the question of how biased the sample was in terms of these four dimensions when compared to the world's population, as well as when taking into account the countries in which the data were collected.</w:t>
      </w:r>
    </w:p>
    <w:p w14:paraId="2DA999FA" w14:textId="77777777" w:rsidR="007F49F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Thanks to the collective work of nearly 300 individuals (with deep thanks to the people acknowledged in SM8), we could include 180 corpora from 48 different countries, primarily OECD (84%). Despite a remarkable diversity in terms of languages and countries, analyses of the demographic characteristics of our CHILDES sample revealed several measures where the corpora do not represent the world population, nor did the corpora faithfully represent the countries in which data were collected, in terms of SES, urbanization, family structure, and linguistic dimensions. </w:t>
      </w:r>
    </w:p>
    <w:p w14:paraId="5E84E881" w14:textId="77777777" w:rsidR="007F49F8"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SES, our macro-level analyses showed that represented countries had a higher percentage of individuals completing lower secondary school, and higher Gross Domestic Product (GDP) per capita, compared to the worldwide distribution. Our focused analyses further suggested that higher SES families with highly educated parents were more common than would have expected given the source countries. Considering the extensive literature linking SES and language acquisition, these are important biases to take into account.</w:t>
      </w:r>
    </w:p>
    <w:p w14:paraId="2BD89127"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The dataset's overrepresentation of highly educated parents extends beyond this educational/income bias. Notably, approximately half of the corpora feature parents engaged in </w:t>
      </w:r>
      <w:r>
        <w:rPr>
          <w:rFonts w:ascii="Times New Roman" w:eastAsia="Times New Roman" w:hAnsi="Times New Roman" w:cs="Times New Roman"/>
          <w:sz w:val="24"/>
          <w:szCs w:val="24"/>
        </w:rPr>
        <w:lastRenderedPageBreak/>
        <w:t xml:space="preserve">research-related professions, with academics frequently studying their own (grand)children. In comparison, in the US general population, in 2020, only 6% of American citizens would fall under such definitions. The danger of extrapolating from such a sample goes beyond issues previously discussed in the context of convenience (homogeneous or heterogeneous) samples (Bornstein et al., 2013), and may concern the very fact that parents who pursue a career in academia (and likely in language-related areas) could be particular in their linguistic behavior. </w:t>
      </w:r>
    </w:p>
    <w:p w14:paraId="2E455B69" w14:textId="059904E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We also uncovered significant biases in the urbanization dimension. Regarding urbanization, 91% of corpora were urban, compared to 59% of the world population, with only 5 corpora exclusively rural. The latter seemed to be reasonable given urbanization statistics for the countries where data were collected. Thus, in this case, the bias pertains only to which countries are represented, and not how data are sampled within the country. One challenge for future work will involve teasing apart the </w:t>
      </w:r>
      <w:r w:rsidR="006A37D6">
        <w:rPr>
          <w:rFonts w:ascii="Times New Roman" w:eastAsia="Times New Roman" w:hAnsi="Times New Roman" w:cs="Times New Roman"/>
          <w:sz w:val="24"/>
          <w:szCs w:val="24"/>
          <w:highlight w:val="white"/>
        </w:rPr>
        <w:t>myriads</w:t>
      </w:r>
      <w:r>
        <w:rPr>
          <w:rFonts w:ascii="Times New Roman" w:eastAsia="Times New Roman" w:hAnsi="Times New Roman" w:cs="Times New Roman"/>
          <w:sz w:val="24"/>
          <w:szCs w:val="24"/>
          <w:highlight w:val="white"/>
        </w:rPr>
        <w:t xml:space="preserve"> of ways in which urbanization may relate to language outcomes, including not only the parental goals mentioned in the Introduction (Keller, 2012) but also factors that may be confounded with urbanization. For example, families in rural conditions may have less access to infrastructure, but they may be protected from certain types of stress. In fact, a study using long-form recordings suggested that infants growing up in formerly rural families that had migrated to urban centers were afforded less spoken input and had smaller vocabularies than infants whose families had remained rural (Ma et al., 2024).</w:t>
      </w:r>
    </w:p>
    <w:p w14:paraId="35D0A79B"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terms of family structure, the represented countries had smaller households compared to the world average. When comparing household composition in our CHILDES sample with the countries where data had been collected, we found mismatches, with likely a trend for underrepresenting extended families. A bias towards nuclear families limits our understanding of diverse caregiving structures, particularly alloparental involvement, in language acquisition. </w:t>
      </w:r>
      <w:r>
        <w:rPr>
          <w:rFonts w:ascii="Times New Roman" w:eastAsia="Times New Roman" w:hAnsi="Times New Roman" w:cs="Times New Roman"/>
          <w:sz w:val="24"/>
          <w:szCs w:val="24"/>
          <w:highlight w:val="white"/>
        </w:rPr>
        <w:lastRenderedPageBreak/>
        <w:t>While multi-child families are well-represented in our CHILDES sample, the absence of siblings' speech in some transcripts (e.g., Loukatou et al., 2022) hinders insights into typical daily language interactions. In fact, even when recorded children reportedly had siblings, this does not mean that the siblings were recorded, transcribed, or even present during the recording session. Limited data on birth order also restricts robust conclusions on sibling composition in CHILDES and underscores the need for broader exploration of non-parental caregiving roles typically overlooked in studies focusing on predominantly WEIRD households.</w:t>
      </w:r>
    </w:p>
    <w:p w14:paraId="20BAC4B2"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Finally, we found that English and more broadly Indo-European languages were overrepresented in our CHILDES sample, a point already made by others (e.g., Christiansen et al., 2022). This aligns with trends in child development literature (Kidd &amp; Garcia, 2022; Singh et al., 2023). Additionally, although a third of the corpora were not monolingual, this nonetheless underrepresents multilingualism in the world's population (Grosjean, 2024).</w:t>
      </w:r>
    </w:p>
    <w:p w14:paraId="38189CE8"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Although our CHILDES sample is more homogeneous than expected given global and national variations, there remains substantial diversity across all the dimensions we studied. Could researchers use this variation to study the association between, e.g., urbanization and language characteristics in such spontaneous, naturalistic samples? While excited at the prospect, we also fear that such an exploration would be fraught in terms of causal reading given how confounded the dimensions are in these CHILDES corpora. Put simply, since most samples are from nuclear families with well-educated parents living in urban sites, it is impossible to tease apart these three dimensions. Additionally, given that few corpora represent some combinations, it will be hard to understand the intersectionality of such factors in naturalistic input samples. </w:t>
      </w:r>
    </w:p>
    <w:p w14:paraId="23484B9F"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While making some strides in documenting the demographic characteristics of the people represented in naturalistic corpora in CHILDES, our work has several limitations we would like </w:t>
      </w:r>
      <w:r>
        <w:rPr>
          <w:rFonts w:ascii="Times New Roman" w:eastAsia="Times New Roman" w:hAnsi="Times New Roman" w:cs="Times New Roman"/>
          <w:sz w:val="24"/>
          <w:szCs w:val="24"/>
          <w:highlight w:val="white"/>
        </w:rPr>
        <w:lastRenderedPageBreak/>
        <w:t>to acknowledge. First, we focused on four dimensions (SES, urbanization, family structure, and language), but others may well be relevant for language acquisition research. We hope that our sharing of materials will facilitate others' addition of novel descriptors. In particular, the World Values Survey contains information about several dimensions that could be relevant to language acquisition such as social norms and attitudes towards gender roles (World Values Survey Association, 2020).</w:t>
      </w:r>
    </w:p>
    <w:p w14:paraId="2789D659" w14:textId="2869A940"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Second, the absence of comprehensive data for certain variables restricted a thorough analysis of representativeness on some dimensions. This should not be seen as the fault of the corpus creator or curator, as these data were not always available to them or were not considered relevant at the time of data collection. After all, it is only recently that researchers in our field started sounding the alarm regarding underreporting of relevant demographic characteristics (e.g., Singh, et al., 2023; Singh et al., 2023).</w:t>
      </w:r>
    </w:p>
    <w:p w14:paraId="6DF0E806" w14:textId="5CC06A76"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In addition, as computational modeling becomes more prevalent, it is important to keep in mind what are the generalizations that modeling based on such data might arrive at, and how they represent the overarching mechanisms of language acquisition. A relevant example is the BabyLM Challenge, created with the aim of fostering consideration of developmental plausibility when developing language-related machine learning tools (Warstadt et al., 2023). We recommend that researchers re-using CHILDES' input and output data inform themselves about the characteristics of the people </w:t>
      </w:r>
      <w:r w:rsidR="006A37D6">
        <w:rPr>
          <w:rFonts w:ascii="Times New Roman" w:eastAsia="Times New Roman" w:hAnsi="Times New Roman" w:cs="Times New Roman"/>
          <w:sz w:val="24"/>
          <w:szCs w:val="24"/>
          <w:highlight w:val="white"/>
        </w:rPr>
        <w:t>recorded and</w:t>
      </w:r>
      <w:r>
        <w:rPr>
          <w:rFonts w:ascii="Times New Roman" w:eastAsia="Times New Roman" w:hAnsi="Times New Roman" w:cs="Times New Roman"/>
          <w:sz w:val="24"/>
          <w:szCs w:val="24"/>
          <w:highlight w:val="white"/>
        </w:rPr>
        <w:t xml:space="preserve"> acknowledge potential limitations in demographic representation. </w:t>
      </w:r>
    </w:p>
    <w:p w14:paraId="4E022A43" w14:textId="77777777" w:rsidR="007F49F8" w:rsidRDefault="00000000">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 conclude, we found that data from many countries and languages are represented in CHILDES, but that these countries did not constitute a representative sample of the world's countries, and that families were not representative of their own countries. We also noted low </w:t>
      </w:r>
      <w:r>
        <w:rPr>
          <w:rFonts w:ascii="Times New Roman" w:eastAsia="Times New Roman" w:hAnsi="Times New Roman" w:cs="Times New Roman"/>
          <w:sz w:val="24"/>
          <w:szCs w:val="24"/>
          <w:highlight w:val="white"/>
        </w:rPr>
        <w:lastRenderedPageBreak/>
        <w:t xml:space="preserve">variability along certain dimensions (saliently SES and family structure) and the predominance of Indo-European languages, with English having the most recorded participants. Our discussion leads us to argue for the systematic inclusion of certain descriptors in speaker-level and corpus-level metadata, to track and quantify both diversity and representativity. </w:t>
      </w:r>
    </w:p>
    <w:p w14:paraId="441C1E63" w14:textId="77777777" w:rsidR="007F49F8" w:rsidRDefault="00000000">
      <w:pPr>
        <w:pStyle w:val="Heading1"/>
        <w:keepNext w:val="0"/>
        <w:keepLines w:val="0"/>
        <w:shd w:val="clear" w:color="auto" w:fill="auto"/>
        <w:spacing w:before="480" w:after="0"/>
        <w:ind w:firstLine="0"/>
        <w:jc w:val="center"/>
        <w:rPr>
          <w:rFonts w:ascii="Times New Roman" w:eastAsia="Times New Roman" w:hAnsi="Times New Roman" w:cs="Times New Roman"/>
          <w:b/>
          <w:sz w:val="24"/>
          <w:szCs w:val="24"/>
          <w:highlight w:val="white"/>
        </w:rPr>
      </w:pPr>
      <w:bookmarkStart w:id="23" w:name="_nfscftp939mt" w:colFirst="0" w:colLast="0"/>
      <w:bookmarkEnd w:id="23"/>
      <w:r>
        <w:rPr>
          <w:rFonts w:ascii="Times New Roman" w:eastAsia="Times New Roman" w:hAnsi="Times New Roman" w:cs="Times New Roman"/>
          <w:b/>
          <w:sz w:val="24"/>
          <w:szCs w:val="24"/>
          <w:highlight w:val="white"/>
        </w:rPr>
        <w:t>References</w:t>
      </w:r>
    </w:p>
    <w:p w14:paraId="05C691D6"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Anderson, J. R., &amp; Schooler, L. J. (1991). Reflections of the environment in memory. </w:t>
      </w:r>
      <w:r>
        <w:rPr>
          <w:rFonts w:ascii="Times New Roman" w:eastAsia="Times New Roman" w:hAnsi="Times New Roman" w:cs="Times New Roman"/>
          <w:i/>
          <w:sz w:val="24"/>
          <w:szCs w:val="24"/>
          <w:highlight w:val="white"/>
        </w:rPr>
        <w:t>Psychological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w:t>
      </w:r>
      <w:r>
        <w:rPr>
          <w:rFonts w:ascii="Times New Roman" w:eastAsia="Times New Roman" w:hAnsi="Times New Roman" w:cs="Times New Roman"/>
          <w:sz w:val="24"/>
          <w:szCs w:val="24"/>
          <w:highlight w:val="white"/>
        </w:rPr>
        <w:t xml:space="preserve">(6), 396–408. </w:t>
      </w:r>
      <w:hyperlink r:id="rId16">
        <w:r>
          <w:rPr>
            <w:rFonts w:ascii="Times New Roman" w:eastAsia="Times New Roman" w:hAnsi="Times New Roman" w:cs="Times New Roman"/>
            <w:color w:val="1155CC"/>
            <w:sz w:val="24"/>
            <w:szCs w:val="24"/>
            <w:highlight w:val="white"/>
            <w:u w:val="single"/>
          </w:rPr>
          <w:t>https://doi.org/10.1111/j.1467-9280.1991.tb00174.x</w:t>
        </w:r>
      </w:hyperlink>
    </w:p>
    <w:p w14:paraId="2DD5785D"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Anonymized (2024). Supplementary materials https://osf.io/q9w82/?view_only=a013f1b25b8c4556b8248f12870402c9</w:t>
      </w:r>
    </w:p>
    <w:p w14:paraId="71775568" w14:textId="77777777" w:rsidR="007F49F8" w:rsidRDefault="00000000">
      <w:pPr>
        <w:spacing w:before="120" w:after="240" w:line="480" w:lineRule="auto"/>
        <w:rPr>
          <w:rFonts w:ascii="Times New Roman" w:eastAsia="Times New Roman" w:hAnsi="Times New Roman" w:cs="Times New Roman"/>
          <w:sz w:val="24"/>
          <w:szCs w:val="24"/>
          <w:highlight w:val="white"/>
        </w:rPr>
      </w:pPr>
      <w:r w:rsidRPr="006A37D6">
        <w:rPr>
          <w:rFonts w:ascii="Times New Roman" w:eastAsia="Times New Roman" w:hAnsi="Times New Roman" w:cs="Times New Roman"/>
          <w:sz w:val="24"/>
          <w:szCs w:val="24"/>
          <w:highlight w:val="white"/>
          <w:lang w:val="de-CH"/>
        </w:rPr>
        <w:t xml:space="preserve">Bartsch, K., &amp; Wellman, H. M. (1995). </w:t>
      </w:r>
      <w:r>
        <w:rPr>
          <w:rFonts w:ascii="Times New Roman" w:eastAsia="Times New Roman" w:hAnsi="Times New Roman" w:cs="Times New Roman"/>
          <w:i/>
          <w:sz w:val="24"/>
          <w:szCs w:val="24"/>
          <w:highlight w:val="white"/>
        </w:rPr>
        <w:t>Children talk about the mind</w:t>
      </w:r>
      <w:r>
        <w:rPr>
          <w:rFonts w:ascii="Times New Roman" w:eastAsia="Times New Roman" w:hAnsi="Times New Roman" w:cs="Times New Roman"/>
          <w:sz w:val="24"/>
          <w:szCs w:val="24"/>
          <w:highlight w:val="white"/>
        </w:rPr>
        <w:t>. New York, NY: Oxford University Press.</w:t>
      </w:r>
    </w:p>
    <w:p w14:paraId="0A147DE1"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Bergelson, E., Soderstrom, M., Schwarz, I.-C., Rowland, C. F., Ramirez-Esparza, N., Hamrick, L. R., &amp; others. (2023). Everyday language input and production in 1,001 children from six continents. </w:t>
      </w:r>
      <w:r>
        <w:rPr>
          <w:rFonts w:ascii="Times New Roman" w:eastAsia="Times New Roman" w:hAnsi="Times New Roman" w:cs="Times New Roman"/>
          <w:i/>
          <w:sz w:val="24"/>
          <w:szCs w:val="24"/>
          <w:highlight w:val="white"/>
        </w:rPr>
        <w:t>Proceedings of the National Academy of Sciences, 120</w:t>
      </w:r>
      <w:r>
        <w:rPr>
          <w:rFonts w:ascii="Times New Roman" w:eastAsia="Times New Roman" w:hAnsi="Times New Roman" w:cs="Times New Roman"/>
          <w:sz w:val="24"/>
          <w:szCs w:val="24"/>
          <w:highlight w:val="white"/>
        </w:rPr>
        <w:t xml:space="preserve">(52), e2300671120. </w:t>
      </w:r>
      <w:hyperlink r:id="rId17">
        <w:r>
          <w:rPr>
            <w:rFonts w:ascii="Times New Roman" w:eastAsia="Times New Roman" w:hAnsi="Times New Roman" w:cs="Times New Roman"/>
            <w:color w:val="1155CC"/>
            <w:sz w:val="24"/>
            <w:szCs w:val="24"/>
            <w:highlight w:val="white"/>
            <w:u w:val="single"/>
          </w:rPr>
          <w:t>https://doi.org/10.1073/pnas.2300671120</w:t>
        </w:r>
      </w:hyperlink>
      <w:r>
        <w:rPr>
          <w:rFonts w:ascii="Times New Roman" w:eastAsia="Times New Roman" w:hAnsi="Times New Roman" w:cs="Times New Roman"/>
          <w:sz w:val="24"/>
          <w:szCs w:val="24"/>
          <w:highlight w:val="white"/>
        </w:rPr>
        <w:t xml:space="preserve">. </w:t>
      </w:r>
    </w:p>
    <w:p w14:paraId="4F2DE76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Blake, J. (1981). Family size and the quality of children. </w:t>
      </w:r>
      <w:r>
        <w:rPr>
          <w:rFonts w:ascii="Times New Roman" w:eastAsia="Times New Roman" w:hAnsi="Times New Roman" w:cs="Times New Roman"/>
          <w:i/>
          <w:sz w:val="24"/>
          <w:szCs w:val="24"/>
          <w:highlight w:val="white"/>
        </w:rPr>
        <w:t>Demography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18</w:t>
      </w:r>
      <w:r>
        <w:rPr>
          <w:rFonts w:ascii="Times New Roman" w:eastAsia="Times New Roman" w:hAnsi="Times New Roman" w:cs="Times New Roman"/>
          <w:sz w:val="24"/>
          <w:szCs w:val="24"/>
          <w:highlight w:val="white"/>
        </w:rPr>
        <w:t xml:space="preserve">(4), 421–442. </w:t>
      </w:r>
      <w:hyperlink r:id="rId18">
        <w:r>
          <w:rPr>
            <w:rFonts w:ascii="Times New Roman" w:eastAsia="Times New Roman" w:hAnsi="Times New Roman" w:cs="Times New Roman"/>
            <w:color w:val="1155CC"/>
            <w:sz w:val="24"/>
            <w:szCs w:val="24"/>
            <w:highlight w:val="white"/>
            <w:u w:val="single"/>
          </w:rPr>
          <w:t>https://doi.org/10.2307/2060941</w:t>
        </w:r>
      </w:hyperlink>
      <w:r>
        <w:rPr>
          <w:rFonts w:ascii="Times New Roman" w:eastAsia="Times New Roman" w:hAnsi="Times New Roman" w:cs="Times New Roman"/>
          <w:sz w:val="24"/>
          <w:szCs w:val="24"/>
          <w:highlight w:val="white"/>
        </w:rPr>
        <w:t xml:space="preserve"> </w:t>
      </w:r>
    </w:p>
    <w:p w14:paraId="2F12F28C"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Blasi, D. E., Henrich, J., Adamou, E., Kemmerer, D., &amp; Majid, A. (2022). Over-reliance on English hinders cognitive science. </w:t>
      </w:r>
      <w:r>
        <w:rPr>
          <w:rFonts w:ascii="Times New Roman" w:eastAsia="Times New Roman" w:hAnsi="Times New Roman" w:cs="Times New Roman"/>
          <w:i/>
          <w:sz w:val="24"/>
          <w:szCs w:val="24"/>
          <w:highlight w:val="white"/>
        </w:rPr>
        <w:t>Trends in Cognitive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(12), 1153–1170. https://doi.org/10.1016/j.tics.2022.09.007</w:t>
      </w:r>
    </w:p>
    <w:p w14:paraId="04EFAB1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Bornstein, M. H., Jager, J., &amp; Putnick, D. L. (2013). Sampling in developmental science: Situations, shortcomings, solutions, and standards. </w:t>
      </w:r>
      <w:r>
        <w:rPr>
          <w:rFonts w:ascii="Times New Roman" w:eastAsia="Times New Roman" w:hAnsi="Times New Roman" w:cs="Times New Roman"/>
          <w:i/>
          <w:sz w:val="24"/>
          <w:szCs w:val="24"/>
          <w:highlight w:val="white"/>
        </w:rPr>
        <w:t>Developmental Review</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33</w:t>
      </w:r>
      <w:r>
        <w:rPr>
          <w:rFonts w:ascii="Times New Roman" w:eastAsia="Times New Roman" w:hAnsi="Times New Roman" w:cs="Times New Roman"/>
          <w:sz w:val="24"/>
          <w:szCs w:val="24"/>
          <w:highlight w:val="white"/>
        </w:rPr>
        <w:t>(4), 357–370. https://doi.org/10.1016/j.dr.2013.08.003</w:t>
      </w:r>
    </w:p>
    <w:p w14:paraId="79828C9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Bornstein, M. H., Putnick, D. L., &amp; Suwalsky, J. T. (2019). Mother–infant interactions with firstborns and secondborns: A within-family study of European Americans. </w:t>
      </w:r>
      <w:r>
        <w:rPr>
          <w:rFonts w:ascii="Times New Roman" w:eastAsia="Times New Roman" w:hAnsi="Times New Roman" w:cs="Times New Roman"/>
          <w:i/>
          <w:sz w:val="24"/>
          <w:szCs w:val="24"/>
          <w:highlight w:val="white"/>
        </w:rPr>
        <w:t>Infant Behavior and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55</w:t>
      </w:r>
      <w:r>
        <w:rPr>
          <w:rFonts w:ascii="Times New Roman" w:eastAsia="Times New Roman" w:hAnsi="Times New Roman" w:cs="Times New Roman"/>
          <w:sz w:val="24"/>
          <w:szCs w:val="24"/>
          <w:highlight w:val="white"/>
        </w:rPr>
        <w:t>, 100–111. https://doi.org/10.1016/j.infbeh.2019.03.002</w:t>
      </w:r>
    </w:p>
    <w:p w14:paraId="20580F11" w14:textId="77777777" w:rsidR="007F49F8" w:rsidRPr="006A37D6" w:rsidRDefault="00000000">
      <w:pPr>
        <w:spacing w:before="120" w:after="240" w:line="480" w:lineRule="auto"/>
        <w:rPr>
          <w:rFonts w:ascii="Times New Roman" w:eastAsia="Times New Roman" w:hAnsi="Times New Roman" w:cs="Times New Roman"/>
          <w:sz w:val="24"/>
          <w:szCs w:val="24"/>
          <w:highlight w:val="white"/>
          <w:lang w:val="de-CH"/>
        </w:rPr>
      </w:pPr>
      <w:r>
        <w:rPr>
          <w:rFonts w:ascii="Times New Roman" w:eastAsia="Times New Roman" w:hAnsi="Times New Roman" w:cs="Times New Roman"/>
          <w:sz w:val="24"/>
          <w:szCs w:val="24"/>
          <w:highlight w:val="white"/>
        </w:rPr>
        <w:t xml:space="preserve">Casillas, M., Foushee, R., Méndez Girón, J., Polian, G., &amp; Brown, P. (2024). Little evidence for a noun bias in Tseltal spontaneous speech. </w:t>
      </w:r>
      <w:r w:rsidRPr="006A37D6">
        <w:rPr>
          <w:rFonts w:ascii="Times New Roman" w:eastAsia="Times New Roman" w:hAnsi="Times New Roman" w:cs="Times New Roman"/>
          <w:i/>
          <w:sz w:val="24"/>
          <w:szCs w:val="24"/>
          <w:highlight w:val="white"/>
          <w:lang w:val="de-CH"/>
        </w:rPr>
        <w:t>First Language</w:t>
      </w:r>
      <w:r w:rsidRPr="006A37D6">
        <w:rPr>
          <w:rFonts w:ascii="Times New Roman" w:eastAsia="Times New Roman" w:hAnsi="Times New Roman" w:cs="Times New Roman"/>
          <w:sz w:val="24"/>
          <w:szCs w:val="24"/>
          <w:highlight w:val="white"/>
          <w:lang w:val="de-CH"/>
        </w:rPr>
        <w:t>, 01427237231216571. https://doi.org/10.1177/01427237231216571</w:t>
      </w:r>
    </w:p>
    <w:p w14:paraId="6D46B80B" w14:textId="77777777" w:rsidR="007F49F8" w:rsidRDefault="00000000">
      <w:pPr>
        <w:spacing w:before="120" w:after="240" w:line="480" w:lineRule="auto"/>
        <w:rPr>
          <w:rFonts w:ascii="Times New Roman" w:eastAsia="Times New Roman" w:hAnsi="Times New Roman" w:cs="Times New Roman"/>
          <w:sz w:val="24"/>
          <w:szCs w:val="24"/>
          <w:highlight w:val="white"/>
        </w:rPr>
      </w:pPr>
      <w:r w:rsidRPr="006A37D6">
        <w:rPr>
          <w:rFonts w:ascii="Times New Roman" w:eastAsia="Times New Roman" w:hAnsi="Times New Roman" w:cs="Times New Roman"/>
          <w:sz w:val="24"/>
          <w:szCs w:val="24"/>
          <w:highlight w:val="white"/>
          <w:lang w:val="de-CH"/>
        </w:rPr>
        <w:t xml:space="preserve">Christiansen, M. H., Allen, J., &amp; Seidenberg, M. S. (1998). </w:t>
      </w:r>
      <w:r>
        <w:rPr>
          <w:rFonts w:ascii="Times New Roman" w:eastAsia="Times New Roman" w:hAnsi="Times New Roman" w:cs="Times New Roman"/>
          <w:sz w:val="24"/>
          <w:szCs w:val="24"/>
          <w:highlight w:val="white"/>
        </w:rPr>
        <w:t xml:space="preserve">Learning to segment speech using multiple cues: A connectionist model. </w:t>
      </w:r>
      <w:r>
        <w:rPr>
          <w:rFonts w:ascii="Times New Roman" w:eastAsia="Times New Roman" w:hAnsi="Times New Roman" w:cs="Times New Roman"/>
          <w:i/>
          <w:sz w:val="24"/>
          <w:szCs w:val="24"/>
          <w:highlight w:val="white"/>
        </w:rPr>
        <w:t>Language and Cognitive Processes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13</w:t>
      </w:r>
      <w:r>
        <w:rPr>
          <w:rFonts w:ascii="Times New Roman" w:eastAsia="Times New Roman" w:hAnsi="Times New Roman" w:cs="Times New Roman"/>
          <w:sz w:val="24"/>
          <w:szCs w:val="24"/>
          <w:highlight w:val="white"/>
        </w:rPr>
        <w:t>(2-3), 221–268. https://doi.org/10.1080/016909698386528</w:t>
      </w:r>
    </w:p>
    <w:p w14:paraId="4D0F7907"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Christiansen, M. H., Contreras Kallens, P., &amp; Trecca, F. (2022). Toward a comparative approach to language acquisition. </w:t>
      </w:r>
      <w:r>
        <w:rPr>
          <w:rFonts w:ascii="Times New Roman" w:eastAsia="Times New Roman" w:hAnsi="Times New Roman" w:cs="Times New Roman"/>
          <w:i/>
          <w:sz w:val="24"/>
          <w:szCs w:val="24"/>
          <w:highlight w:val="white"/>
        </w:rPr>
        <w:t>Current Directions in Psychological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31</w:t>
      </w:r>
      <w:r>
        <w:rPr>
          <w:rFonts w:ascii="Times New Roman" w:eastAsia="Times New Roman" w:hAnsi="Times New Roman" w:cs="Times New Roman"/>
          <w:sz w:val="24"/>
          <w:szCs w:val="24"/>
          <w:highlight w:val="white"/>
        </w:rPr>
        <w:t>(2), 131–138. https://doi.org/10.1177/09637214211064692</w:t>
      </w:r>
    </w:p>
    <w:p w14:paraId="65A2E54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Cristia, A. (2023). A systematic review suggests marked differences in the prevalence of infant-directed vocalization across groups of populations. </w:t>
      </w:r>
      <w:r>
        <w:rPr>
          <w:rFonts w:ascii="Times New Roman" w:eastAsia="Times New Roman" w:hAnsi="Times New Roman" w:cs="Times New Roman"/>
          <w:i/>
          <w:sz w:val="24"/>
          <w:szCs w:val="24"/>
          <w:highlight w:val="white"/>
        </w:rPr>
        <w:t>Developmental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26</w:t>
      </w:r>
      <w:r>
        <w:rPr>
          <w:rFonts w:ascii="Times New Roman" w:eastAsia="Times New Roman" w:hAnsi="Times New Roman" w:cs="Times New Roman"/>
          <w:sz w:val="24"/>
          <w:szCs w:val="24"/>
          <w:highlight w:val="white"/>
        </w:rPr>
        <w:t>(1), e13265. https://doi.org/10.1111/desc.13265</w:t>
      </w:r>
    </w:p>
    <w:p w14:paraId="35427F3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Cychosz, M., &amp; Cristia, A. (2022). Using big data from long-form recordings to study development and optimize societal impact. In R. Kail (Ed.), </w:t>
      </w:r>
      <w:r>
        <w:rPr>
          <w:rFonts w:ascii="Times New Roman" w:eastAsia="Times New Roman" w:hAnsi="Times New Roman" w:cs="Times New Roman"/>
          <w:i/>
          <w:sz w:val="24"/>
          <w:szCs w:val="24"/>
          <w:highlight w:val="white"/>
        </w:rPr>
        <w:t>Advances in Child Development and Behavior</w:t>
      </w:r>
      <w:r>
        <w:rPr>
          <w:rFonts w:ascii="Times New Roman" w:eastAsia="Times New Roman" w:hAnsi="Times New Roman" w:cs="Times New Roman"/>
          <w:sz w:val="24"/>
          <w:szCs w:val="24"/>
          <w:highlight w:val="white"/>
        </w:rPr>
        <w:t xml:space="preserve"> (Vol. 62, pp. 1–36). Academic Press.</w:t>
      </w:r>
    </w:p>
    <w:p w14:paraId="5316C063"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Dailey, S., &amp; Bergelson, E. (2022). Language input to infants of different socioeconomic statuses: A quantitative meta-analysis. </w:t>
      </w:r>
      <w:r>
        <w:rPr>
          <w:rFonts w:ascii="Times New Roman" w:eastAsia="Times New Roman" w:hAnsi="Times New Roman" w:cs="Times New Roman"/>
          <w:i/>
          <w:sz w:val="24"/>
          <w:szCs w:val="24"/>
          <w:highlight w:val="white"/>
        </w:rPr>
        <w:t>Developmental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25</w:t>
      </w:r>
      <w:r>
        <w:rPr>
          <w:rFonts w:ascii="Times New Roman" w:eastAsia="Times New Roman" w:hAnsi="Times New Roman" w:cs="Times New Roman"/>
          <w:sz w:val="24"/>
          <w:szCs w:val="24"/>
          <w:highlight w:val="white"/>
        </w:rPr>
        <w:t>(3), e13192.</w:t>
      </w:r>
    </w:p>
    <w:p w14:paraId="2ADF6F48"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 León, L. (1999). Verbs in Tzotzil (Mayan) early syntactic development. </w:t>
      </w:r>
      <w:r>
        <w:rPr>
          <w:rFonts w:ascii="Times New Roman" w:eastAsia="Times New Roman" w:hAnsi="Times New Roman" w:cs="Times New Roman"/>
          <w:i/>
          <w:sz w:val="24"/>
          <w:szCs w:val="24"/>
          <w:highlight w:val="white"/>
        </w:rPr>
        <w:t>International Journal of Bilingualism</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w:t>
      </w:r>
      <w:r>
        <w:rPr>
          <w:rFonts w:ascii="Times New Roman" w:eastAsia="Times New Roman" w:hAnsi="Times New Roman" w:cs="Times New Roman"/>
          <w:sz w:val="24"/>
          <w:szCs w:val="24"/>
          <w:highlight w:val="white"/>
        </w:rPr>
        <w:t>(2-3), 219–239.</w:t>
      </w:r>
    </w:p>
    <w:p w14:paraId="58BCE469"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Demuth, K. (2022). The acquisition of Sesotho. In  D. I. Slobin (Ed.), </w:t>
      </w:r>
      <w:r>
        <w:rPr>
          <w:rFonts w:ascii="Times New Roman" w:eastAsia="Times New Roman" w:hAnsi="Times New Roman" w:cs="Times New Roman"/>
          <w:i/>
          <w:sz w:val="24"/>
          <w:szCs w:val="24"/>
          <w:highlight w:val="white"/>
        </w:rPr>
        <w:t>The crosslinguistic study of language acquisition</w:t>
      </w:r>
      <w:r>
        <w:rPr>
          <w:rFonts w:ascii="Times New Roman" w:eastAsia="Times New Roman" w:hAnsi="Times New Roman" w:cs="Times New Roman"/>
          <w:sz w:val="24"/>
          <w:szCs w:val="24"/>
          <w:highlight w:val="white"/>
        </w:rPr>
        <w:t xml:space="preserve"> (pp. 557–638). Psychology Press.</w:t>
      </w:r>
    </w:p>
    <w:p w14:paraId="61938661"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Draper, P., &amp; Harpending, H. (2017). Parent investment and the child’s environment. In J. B. Lancaster, A. Rossi, &amp; J. Altmann (Eds.), </w:t>
      </w:r>
      <w:r>
        <w:rPr>
          <w:rFonts w:ascii="Times New Roman" w:eastAsia="Times New Roman" w:hAnsi="Times New Roman" w:cs="Times New Roman"/>
          <w:i/>
          <w:sz w:val="24"/>
          <w:szCs w:val="24"/>
          <w:highlight w:val="white"/>
        </w:rPr>
        <w:t>Parenting across the life span</w:t>
      </w:r>
      <w:r>
        <w:rPr>
          <w:rFonts w:ascii="Times New Roman" w:eastAsia="Times New Roman" w:hAnsi="Times New Roman" w:cs="Times New Roman"/>
          <w:sz w:val="24"/>
          <w:szCs w:val="24"/>
          <w:highlight w:val="white"/>
        </w:rPr>
        <w:t xml:space="preserve"> (pp. 207–236). Routledge.</w:t>
      </w:r>
    </w:p>
    <w:p w14:paraId="7397293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Duncan, T. S., &amp; Paradis, J. (2020). Home language environment and children’s second language acquisition: The special status of input from older siblings.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47</w:t>
      </w:r>
      <w:r>
        <w:rPr>
          <w:rFonts w:ascii="Times New Roman" w:eastAsia="Times New Roman" w:hAnsi="Times New Roman" w:cs="Times New Roman"/>
          <w:sz w:val="24"/>
          <w:szCs w:val="24"/>
          <w:highlight w:val="white"/>
        </w:rPr>
        <w:t>(5), 982–1005. https://doi.org/10.1017/S0305000919000905</w:t>
      </w:r>
    </w:p>
    <w:p w14:paraId="0914944C"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Ensminger, M. E., &amp; Fothergill, K. E. (2014). A decade of measuring SES: What it tells us and where to go from here. In M. H. Bornstein &amp; R. H. Bradley (Eds.),  </w:t>
      </w:r>
      <w:r>
        <w:rPr>
          <w:rFonts w:ascii="Times New Roman" w:eastAsia="Times New Roman" w:hAnsi="Times New Roman" w:cs="Times New Roman"/>
          <w:i/>
          <w:sz w:val="24"/>
          <w:szCs w:val="24"/>
          <w:highlight w:val="white"/>
        </w:rPr>
        <w:t>Socioeconomic status, parenting, and child development</w:t>
      </w:r>
      <w:r>
        <w:rPr>
          <w:rFonts w:ascii="Times New Roman" w:eastAsia="Times New Roman" w:hAnsi="Times New Roman" w:cs="Times New Roman"/>
          <w:sz w:val="24"/>
          <w:szCs w:val="24"/>
          <w:highlight w:val="white"/>
        </w:rPr>
        <w:t xml:space="preserve"> (pp. 13–27). Routledge.</w:t>
      </w:r>
    </w:p>
    <w:p w14:paraId="7589EA5E"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Garcia-Sierra, A., Rivera-Gaxiola, M., Percaccio, C. R., Conboy, B. T., Romo, H., Klarman, L., … Kuhl, P. K. (2011). Bilingual language learning: An ERP study relating early brain responses to speech, language input, and later word production. </w:t>
      </w:r>
      <w:r>
        <w:rPr>
          <w:rFonts w:ascii="Times New Roman" w:eastAsia="Times New Roman" w:hAnsi="Times New Roman" w:cs="Times New Roman"/>
          <w:i/>
          <w:sz w:val="24"/>
          <w:szCs w:val="24"/>
          <w:highlight w:val="white"/>
        </w:rPr>
        <w:t>Journal of Phonetics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39</w:t>
      </w:r>
      <w:r>
        <w:rPr>
          <w:rFonts w:ascii="Times New Roman" w:eastAsia="Times New Roman" w:hAnsi="Times New Roman" w:cs="Times New Roman"/>
          <w:sz w:val="24"/>
          <w:szCs w:val="24"/>
          <w:highlight w:val="white"/>
        </w:rPr>
        <w:t>(4), 546–557. https://doi.org/10.1016/j.wocn.2011.07.002</w:t>
      </w:r>
    </w:p>
    <w:p w14:paraId="46F11248"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Ghai, S. (2021). It’s time to reimagine sample diversity and retire the WEIRD dichotomy. </w:t>
      </w:r>
      <w:r>
        <w:rPr>
          <w:rFonts w:ascii="Times New Roman" w:eastAsia="Times New Roman" w:hAnsi="Times New Roman" w:cs="Times New Roman"/>
          <w:i/>
          <w:sz w:val="24"/>
          <w:szCs w:val="24"/>
          <w:highlight w:val="white"/>
        </w:rPr>
        <w:t>Nature Human Behaviour</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w:t>
      </w:r>
      <w:r>
        <w:rPr>
          <w:rFonts w:ascii="Times New Roman" w:eastAsia="Times New Roman" w:hAnsi="Times New Roman" w:cs="Times New Roman"/>
          <w:sz w:val="24"/>
          <w:szCs w:val="24"/>
          <w:highlight w:val="white"/>
        </w:rPr>
        <w:t>(8), 971–972. https://doi.org/10.1038/s41562-021-01175-9</w:t>
      </w:r>
    </w:p>
    <w:p w14:paraId="295730FE"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Golinkoff, R. M., Hoff, E., Rowe, M. L., Tamis-LeMonda, C. S., &amp; Hirsh-Pasek, K. (2019). Language matters: Denying the existence of the 30-million-word gap has serious consequences. </w:t>
      </w:r>
      <w:r>
        <w:rPr>
          <w:rFonts w:ascii="Times New Roman" w:eastAsia="Times New Roman" w:hAnsi="Times New Roman" w:cs="Times New Roman"/>
          <w:i/>
          <w:sz w:val="24"/>
          <w:szCs w:val="24"/>
          <w:highlight w:val="white"/>
        </w:rPr>
        <w:t>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90</w:t>
      </w:r>
      <w:r>
        <w:rPr>
          <w:rFonts w:ascii="Times New Roman" w:eastAsia="Times New Roman" w:hAnsi="Times New Roman" w:cs="Times New Roman"/>
          <w:sz w:val="24"/>
          <w:szCs w:val="24"/>
          <w:highlight w:val="white"/>
        </w:rPr>
        <w:t>(3), 985–992. https://doi.org/10.1111/cdev.13128</w:t>
      </w:r>
    </w:p>
    <w:p w14:paraId="10FF5C24" w14:textId="77777777" w:rsidR="007F49F8" w:rsidRDefault="00000000">
      <w:pPr>
        <w:spacing w:before="120" w:after="240" w:line="480" w:lineRule="auto"/>
        <w:rPr>
          <w:rFonts w:ascii="Times New Roman" w:eastAsia="Times New Roman" w:hAnsi="Times New Roman" w:cs="Times New Roman"/>
          <w:color w:val="4F81BD"/>
          <w:sz w:val="24"/>
          <w:szCs w:val="24"/>
          <w:highlight w:val="white"/>
          <w:u w:val="single"/>
        </w:rPr>
      </w:pPr>
      <w:r>
        <w:rPr>
          <w:rFonts w:ascii="Times New Roman" w:eastAsia="Times New Roman" w:hAnsi="Times New Roman" w:cs="Times New Roman"/>
          <w:sz w:val="24"/>
          <w:szCs w:val="24"/>
          <w:highlight w:val="white"/>
        </w:rPr>
        <w:t xml:space="preserve">Grosjean, F. (2024). The statistics of bilingualism. In J. F. Kroll &amp; A. M. B. de Groot (Eds.), </w:t>
      </w:r>
      <w:r>
        <w:rPr>
          <w:rFonts w:ascii="Times New Roman" w:eastAsia="Times New Roman" w:hAnsi="Times New Roman" w:cs="Times New Roman"/>
          <w:i/>
          <w:sz w:val="24"/>
          <w:szCs w:val="24"/>
          <w:highlight w:val="white"/>
        </w:rPr>
        <w:t>On bilinguals and bilingualism</w:t>
      </w:r>
      <w:r>
        <w:rPr>
          <w:rFonts w:ascii="Times New Roman" w:eastAsia="Times New Roman" w:hAnsi="Times New Roman" w:cs="Times New Roman"/>
          <w:sz w:val="24"/>
          <w:szCs w:val="24"/>
          <w:highlight w:val="white"/>
        </w:rPr>
        <w:t xml:space="preserve"> (pp. 138–147). Cambridge University Press.</w:t>
      </w:r>
      <w:hyperlink r:id="rId19">
        <w:r>
          <w:rPr>
            <w:rFonts w:ascii="Times New Roman" w:eastAsia="Times New Roman" w:hAnsi="Times New Roman" w:cs="Times New Roman"/>
            <w:sz w:val="24"/>
            <w:szCs w:val="24"/>
            <w:highlight w:val="white"/>
          </w:rPr>
          <w:t xml:space="preserve"> </w:t>
        </w:r>
      </w:hyperlink>
      <w:hyperlink r:id="rId20">
        <w:r>
          <w:rPr>
            <w:rFonts w:ascii="Times New Roman" w:eastAsia="Times New Roman" w:hAnsi="Times New Roman" w:cs="Times New Roman"/>
            <w:color w:val="4F81BD"/>
            <w:sz w:val="24"/>
            <w:szCs w:val="24"/>
            <w:highlight w:val="white"/>
            <w:u w:val="single"/>
          </w:rPr>
          <w:t>https://doi.org/10.1017/9781009210409.010</w:t>
        </w:r>
      </w:hyperlink>
    </w:p>
    <w:p w14:paraId="2F7E78B7"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Hart, B., &amp; Risley, T. R. (1995). </w:t>
      </w:r>
      <w:r>
        <w:rPr>
          <w:rFonts w:ascii="Times New Roman" w:eastAsia="Times New Roman" w:hAnsi="Times New Roman" w:cs="Times New Roman"/>
          <w:i/>
          <w:sz w:val="24"/>
          <w:szCs w:val="24"/>
          <w:highlight w:val="white"/>
        </w:rPr>
        <w:t>Meaningful differences in the everyday experience of young American children.</w:t>
      </w:r>
      <w:r>
        <w:rPr>
          <w:rFonts w:ascii="Times New Roman" w:eastAsia="Times New Roman" w:hAnsi="Times New Roman" w:cs="Times New Roman"/>
          <w:sz w:val="24"/>
          <w:szCs w:val="24"/>
          <w:highlight w:val="white"/>
        </w:rPr>
        <w:t xml:space="preserve"> Baltimore, MD: Paul H Brookes Publishing.</w:t>
      </w:r>
    </w:p>
    <w:p w14:paraId="21E9E1B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Havron, N., Lovcevic, I., Kee, M. Z., Chen, H., Chong, Y. S., Daniel, M., … Tsuji, S. (2022). The effect of older sibling, postnatal maternal stress, and household factors on language development in two-to four-year-old children. </w:t>
      </w:r>
      <w:r>
        <w:rPr>
          <w:rFonts w:ascii="Times New Roman" w:eastAsia="Times New Roman" w:hAnsi="Times New Roman" w:cs="Times New Roman"/>
          <w:i/>
          <w:sz w:val="24"/>
          <w:szCs w:val="24"/>
          <w:highlight w:val="white"/>
        </w:rPr>
        <w:t>Developmental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58</w:t>
      </w:r>
      <w:r>
        <w:rPr>
          <w:rFonts w:ascii="Times New Roman" w:eastAsia="Times New Roman" w:hAnsi="Times New Roman" w:cs="Times New Roman"/>
          <w:sz w:val="24"/>
          <w:szCs w:val="24"/>
          <w:highlight w:val="white"/>
        </w:rPr>
        <w:t>(11), 2096. https://doi.org/10.1037/dev0001395</w:t>
      </w:r>
    </w:p>
    <w:p w14:paraId="24841BA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Havron, N., Ramus, F., Heude, B., Forhan, A., Cristia, A., Peyre, H., &amp; Group, E. M.-C. C. S. (2019). The effect of older siblings on language development as a function of age difference and sex. </w:t>
      </w:r>
      <w:r>
        <w:rPr>
          <w:rFonts w:ascii="Times New Roman" w:eastAsia="Times New Roman" w:hAnsi="Times New Roman" w:cs="Times New Roman"/>
          <w:i/>
          <w:sz w:val="24"/>
          <w:szCs w:val="24"/>
          <w:highlight w:val="white"/>
        </w:rPr>
        <w:t>Psychological Science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30</w:t>
      </w:r>
      <w:r>
        <w:rPr>
          <w:rFonts w:ascii="Times New Roman" w:eastAsia="Times New Roman" w:hAnsi="Times New Roman" w:cs="Times New Roman"/>
          <w:sz w:val="24"/>
          <w:szCs w:val="24"/>
          <w:highlight w:val="white"/>
        </w:rPr>
        <w:t>(9), 1333–1343. https://doi.org/10.1177/0956797619861436</w:t>
      </w:r>
    </w:p>
    <w:p w14:paraId="7B25425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Henrich, J., Heine, S. J., &amp; Norenzayan, A. (2010). Most people are not WEIRD. </w:t>
      </w:r>
      <w:r>
        <w:rPr>
          <w:rFonts w:ascii="Times New Roman" w:eastAsia="Times New Roman" w:hAnsi="Times New Roman" w:cs="Times New Roman"/>
          <w:i/>
          <w:sz w:val="24"/>
          <w:szCs w:val="24"/>
          <w:highlight w:val="white"/>
        </w:rPr>
        <w:t>Nature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466</w:t>
      </w:r>
      <w:r>
        <w:rPr>
          <w:rFonts w:ascii="Times New Roman" w:eastAsia="Times New Roman" w:hAnsi="Times New Roman" w:cs="Times New Roman"/>
          <w:sz w:val="24"/>
          <w:szCs w:val="24"/>
          <w:highlight w:val="white"/>
        </w:rPr>
        <w:t>(7302), 29. https://doi.org/10.1038/466029a</w:t>
      </w:r>
    </w:p>
    <w:p w14:paraId="5F6EBC53"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Hoff, E. (2003). The specificity of environmental influence: Socioeconomic status affects early vocabulary development via maternal speech. </w:t>
      </w:r>
      <w:r>
        <w:rPr>
          <w:rFonts w:ascii="Times New Roman" w:eastAsia="Times New Roman" w:hAnsi="Times New Roman" w:cs="Times New Roman"/>
          <w:i/>
          <w:sz w:val="24"/>
          <w:szCs w:val="24"/>
          <w:highlight w:val="white"/>
        </w:rPr>
        <w:t>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74</w:t>
      </w:r>
      <w:r>
        <w:rPr>
          <w:rFonts w:ascii="Times New Roman" w:eastAsia="Times New Roman" w:hAnsi="Times New Roman" w:cs="Times New Roman"/>
          <w:sz w:val="24"/>
          <w:szCs w:val="24"/>
          <w:highlight w:val="white"/>
        </w:rPr>
        <w:t>(5), 1368–1378. https://doi.org/10.1111/1467-8624.00612</w:t>
      </w:r>
    </w:p>
    <w:p w14:paraId="363BA953"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Hoff, E. (2014). Causes and consequences of SES-related differences in parent-to-child speech. In M. H. Bornstein &amp; R. H. Bradley (Eds.), </w:t>
      </w:r>
      <w:r>
        <w:rPr>
          <w:rFonts w:ascii="Times New Roman" w:eastAsia="Times New Roman" w:hAnsi="Times New Roman" w:cs="Times New Roman"/>
          <w:i/>
          <w:sz w:val="24"/>
          <w:szCs w:val="24"/>
          <w:highlight w:val="white"/>
        </w:rPr>
        <w:t>Socioeconomic status, parenting, and child development</w:t>
      </w:r>
      <w:r>
        <w:rPr>
          <w:rFonts w:ascii="Times New Roman" w:eastAsia="Times New Roman" w:hAnsi="Times New Roman" w:cs="Times New Roman"/>
          <w:sz w:val="24"/>
          <w:szCs w:val="24"/>
          <w:highlight w:val="white"/>
        </w:rPr>
        <w:t xml:space="preserve"> (pp. 147–160). Routledge.</w:t>
      </w:r>
    </w:p>
    <w:p w14:paraId="29DBA19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Hoff-Ginsberg, E. (1990). Maternal speech and the child’s development of syntax: A further look.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17</w:t>
      </w:r>
      <w:r>
        <w:rPr>
          <w:rFonts w:ascii="Times New Roman" w:eastAsia="Times New Roman" w:hAnsi="Times New Roman" w:cs="Times New Roman"/>
          <w:sz w:val="24"/>
          <w:szCs w:val="24"/>
          <w:highlight w:val="white"/>
        </w:rPr>
        <w:t>(1), 85–99. https://doi.org/10.1017/S0305000900013091</w:t>
      </w:r>
    </w:p>
    <w:p w14:paraId="69D28F18"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Hoff-Ginsberg, E., &amp; Krueger, W. M. (1991). Older siblings as conversational partners. </w:t>
      </w:r>
      <w:r>
        <w:rPr>
          <w:rFonts w:ascii="Times New Roman" w:eastAsia="Times New Roman" w:hAnsi="Times New Roman" w:cs="Times New Roman"/>
          <w:i/>
          <w:sz w:val="24"/>
          <w:szCs w:val="24"/>
          <w:highlight w:val="white"/>
        </w:rPr>
        <w:t>Merrill-Palmer Quarterly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37</w:t>
      </w:r>
      <w:r>
        <w:rPr>
          <w:rFonts w:ascii="Times New Roman" w:eastAsia="Times New Roman" w:hAnsi="Times New Roman" w:cs="Times New Roman"/>
          <w:sz w:val="24"/>
          <w:szCs w:val="24"/>
          <w:highlight w:val="white"/>
        </w:rPr>
        <w:t>(3), 465–482.</w:t>
      </w:r>
    </w:p>
    <w:p w14:paraId="4DC86DE0"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Höhle, B., Bijeljac-Babic, R., &amp; Nazzi, T. (2020). Variability and stability in early language acquisition: Comparing monolingual and bilingual infants’ speech perception and word recognition. </w:t>
      </w:r>
      <w:r>
        <w:rPr>
          <w:rFonts w:ascii="Times New Roman" w:eastAsia="Times New Roman" w:hAnsi="Times New Roman" w:cs="Times New Roman"/>
          <w:i/>
          <w:sz w:val="24"/>
          <w:szCs w:val="24"/>
          <w:highlight w:val="white"/>
        </w:rPr>
        <w:t>Bilingualism: Language and Cognition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23</w:t>
      </w:r>
      <w:r>
        <w:rPr>
          <w:rFonts w:ascii="Times New Roman" w:eastAsia="Times New Roman" w:hAnsi="Times New Roman" w:cs="Times New Roman"/>
          <w:sz w:val="24"/>
          <w:szCs w:val="24"/>
          <w:highlight w:val="white"/>
        </w:rPr>
        <w:t>(1), 56–71. https://doi.org/10.1017/S1366728919000422</w:t>
      </w:r>
    </w:p>
    <w:p w14:paraId="1D2C0245"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Huttenlocher, J., Vasilyeva, M., Waterfall, H. R., Vevea, J. L., &amp; Hedges, L. V. (2007). The varieties of speech to young children. </w:t>
      </w:r>
      <w:r>
        <w:rPr>
          <w:rFonts w:ascii="Times New Roman" w:eastAsia="Times New Roman" w:hAnsi="Times New Roman" w:cs="Times New Roman"/>
          <w:i/>
          <w:sz w:val="24"/>
          <w:szCs w:val="24"/>
          <w:highlight w:val="white"/>
        </w:rPr>
        <w:t>Developmental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43</w:t>
      </w:r>
      <w:r>
        <w:rPr>
          <w:rFonts w:ascii="Times New Roman" w:eastAsia="Times New Roman" w:hAnsi="Times New Roman" w:cs="Times New Roman"/>
          <w:sz w:val="24"/>
          <w:szCs w:val="24"/>
          <w:highlight w:val="white"/>
        </w:rPr>
        <w:t>(5), 1062. https://doi.org/10.1037/0012-1649.43.5.1062</w:t>
      </w:r>
    </w:p>
    <w:p w14:paraId="3C5FC70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Isleyen, M. A. (2021). </w:t>
      </w:r>
      <w:r>
        <w:rPr>
          <w:rFonts w:ascii="Times New Roman" w:eastAsia="Times New Roman" w:hAnsi="Times New Roman" w:cs="Times New Roman"/>
          <w:i/>
          <w:sz w:val="24"/>
          <w:szCs w:val="24"/>
          <w:highlight w:val="white"/>
        </w:rPr>
        <w:t xml:space="preserve">Marital functioning and parenting in extended family living arrangements: A qualitative study in family buildings </w:t>
      </w:r>
      <w:r>
        <w:rPr>
          <w:rFonts w:ascii="Times New Roman" w:eastAsia="Times New Roman" w:hAnsi="Times New Roman" w:cs="Times New Roman"/>
          <w:sz w:val="24"/>
          <w:szCs w:val="24"/>
          <w:highlight w:val="white"/>
        </w:rPr>
        <w:t>(Master’s thesis). Istanbul Bilgi University, Istanbul, Turkey. https://doi.org/10.31234/osf.io/gpvqr</w:t>
      </w:r>
    </w:p>
    <w:p w14:paraId="4162B5E7"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Keller, H. (2012). Autonomy and relatedness revisited: Cultural manifestations of universal human needs. </w:t>
      </w:r>
      <w:r>
        <w:rPr>
          <w:rFonts w:ascii="Times New Roman" w:eastAsia="Times New Roman" w:hAnsi="Times New Roman" w:cs="Times New Roman"/>
          <w:i/>
          <w:sz w:val="24"/>
          <w:szCs w:val="24"/>
          <w:highlight w:val="white"/>
        </w:rPr>
        <w:t>Child Development Perspectives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w:t>
      </w:r>
      <w:r>
        <w:rPr>
          <w:rFonts w:ascii="Times New Roman" w:eastAsia="Times New Roman" w:hAnsi="Times New Roman" w:cs="Times New Roman"/>
          <w:sz w:val="24"/>
          <w:szCs w:val="24"/>
          <w:highlight w:val="white"/>
        </w:rPr>
        <w:t>(1), 12–18. https://doi.org/10.1111/j.1750-8606.2011.00208.x</w:t>
      </w:r>
    </w:p>
    <w:p w14:paraId="02E92368"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Kidd, E., &amp; Garcia, R. (2022). How diverse is child language acquisition research? </w:t>
      </w:r>
      <w:r>
        <w:rPr>
          <w:rFonts w:ascii="Times New Roman" w:eastAsia="Times New Roman" w:hAnsi="Times New Roman" w:cs="Times New Roman"/>
          <w:i/>
          <w:sz w:val="24"/>
          <w:szCs w:val="24"/>
          <w:highlight w:val="white"/>
        </w:rPr>
        <w:t>First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42</w:t>
      </w:r>
      <w:r>
        <w:rPr>
          <w:rFonts w:ascii="Times New Roman" w:eastAsia="Times New Roman" w:hAnsi="Times New Roman" w:cs="Times New Roman"/>
          <w:sz w:val="24"/>
          <w:szCs w:val="24"/>
          <w:highlight w:val="white"/>
        </w:rPr>
        <w:t>(6), 703–735. https://doi.org/10.1177/01427237221124710</w:t>
      </w:r>
    </w:p>
    <w:p w14:paraId="4500010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Leonardo, P., Havron, N., &amp; Cristia, A. (2022). Socioeconomic status correlates with measures of language environment analysis (LENA) system: A meta-analysis.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49</w:t>
      </w:r>
      <w:r>
        <w:rPr>
          <w:rFonts w:ascii="Times New Roman" w:eastAsia="Times New Roman" w:hAnsi="Times New Roman" w:cs="Times New Roman"/>
          <w:sz w:val="24"/>
          <w:szCs w:val="24"/>
          <w:highlight w:val="white"/>
        </w:rPr>
        <w:t>(5), 1037–1051. https://doi.org/10.1017/S0305000922000314</w:t>
      </w:r>
    </w:p>
    <w:p w14:paraId="2C33745C"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Lieven, E., &amp; Stoll, S. (2013). Early communicative development in two cultures: A comparison of the communicative environments of children from two cultures. </w:t>
      </w:r>
      <w:r>
        <w:rPr>
          <w:rFonts w:ascii="Times New Roman" w:eastAsia="Times New Roman" w:hAnsi="Times New Roman" w:cs="Times New Roman"/>
          <w:i/>
          <w:sz w:val="24"/>
          <w:szCs w:val="24"/>
          <w:highlight w:val="white"/>
        </w:rPr>
        <w:t>Human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56</w:t>
      </w:r>
      <w:r>
        <w:rPr>
          <w:rFonts w:ascii="Times New Roman" w:eastAsia="Times New Roman" w:hAnsi="Times New Roman" w:cs="Times New Roman"/>
          <w:sz w:val="24"/>
          <w:szCs w:val="24"/>
          <w:highlight w:val="white"/>
        </w:rPr>
        <w:t>(3), 178–206. https://doi.org/10.1159/000351073</w:t>
      </w:r>
    </w:p>
    <w:p w14:paraId="4D03B49A"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Loukatou, G., Scaff, C., Demuth, K., Cristia, A., &amp; Havron, N. (2022). Child-directed and overheard input from different speakers in two distinct cultures. </w:t>
      </w:r>
      <w:r>
        <w:rPr>
          <w:rFonts w:ascii="Times New Roman" w:eastAsia="Times New Roman" w:hAnsi="Times New Roman" w:cs="Times New Roman"/>
          <w:i/>
          <w:sz w:val="24"/>
          <w:szCs w:val="24"/>
          <w:highlight w:val="white"/>
        </w:rPr>
        <w:t>Journal of Child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49</w:t>
      </w:r>
      <w:r>
        <w:rPr>
          <w:rFonts w:ascii="Times New Roman" w:eastAsia="Times New Roman" w:hAnsi="Times New Roman" w:cs="Times New Roman"/>
          <w:sz w:val="24"/>
          <w:szCs w:val="24"/>
          <w:highlight w:val="white"/>
        </w:rPr>
        <w:t>(6), 1173--1192. https://doi.org/10.1017/S0305000922000387</w:t>
      </w:r>
    </w:p>
    <w:p w14:paraId="22346737"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color w:val="444746"/>
          <w:sz w:val="24"/>
          <w:szCs w:val="24"/>
          <w:highlight w:val="white"/>
        </w:rPr>
        <w:t xml:space="preserve">Ma, Y., Zhang, X., Pappas, L., Rule, A., Gao, Y., Dill, S. E., ... &amp; Rozelle, S. (2024). Associations between urbanization and the home language environment: Evidence from a LENA study in rural and peri‐urban China. </w:t>
      </w:r>
      <w:r>
        <w:rPr>
          <w:rFonts w:ascii="Times New Roman" w:eastAsia="Times New Roman" w:hAnsi="Times New Roman" w:cs="Times New Roman"/>
          <w:i/>
          <w:color w:val="444746"/>
          <w:sz w:val="24"/>
          <w:szCs w:val="24"/>
          <w:highlight w:val="white"/>
        </w:rPr>
        <w:t>Child Development, 95</w:t>
      </w:r>
      <w:r>
        <w:rPr>
          <w:rFonts w:ascii="Times New Roman" w:eastAsia="Times New Roman" w:hAnsi="Times New Roman" w:cs="Times New Roman"/>
          <w:color w:val="444746"/>
          <w:sz w:val="24"/>
          <w:szCs w:val="24"/>
          <w:highlight w:val="white"/>
        </w:rPr>
        <w:t>(2), e74-e92. https://doi.org/10.1111/cdev.13718</w:t>
      </w:r>
    </w:p>
    <w:p w14:paraId="4F6878B4"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MacWhinney, B. (2000). </w:t>
      </w:r>
      <w:r>
        <w:rPr>
          <w:rFonts w:ascii="Times New Roman" w:eastAsia="Times New Roman" w:hAnsi="Times New Roman" w:cs="Times New Roman"/>
          <w:i/>
          <w:sz w:val="24"/>
          <w:szCs w:val="24"/>
          <w:highlight w:val="white"/>
        </w:rPr>
        <w:t>The CHILDES project: Tools for analyzing talk</w:t>
      </w:r>
      <w:r>
        <w:rPr>
          <w:rFonts w:ascii="Times New Roman" w:eastAsia="Times New Roman" w:hAnsi="Times New Roman" w:cs="Times New Roman"/>
          <w:sz w:val="24"/>
          <w:szCs w:val="24"/>
          <w:highlight w:val="white"/>
        </w:rPr>
        <w:t>. MIT Press.</w:t>
      </w:r>
    </w:p>
    <w:p w14:paraId="75EB756B"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MacWhinney, B. (2019). Understanding spoken language through TalkBank. </w:t>
      </w:r>
      <w:r>
        <w:rPr>
          <w:rFonts w:ascii="Times New Roman" w:eastAsia="Times New Roman" w:hAnsi="Times New Roman" w:cs="Times New Roman"/>
          <w:i/>
          <w:sz w:val="24"/>
          <w:szCs w:val="24"/>
          <w:highlight w:val="white"/>
        </w:rPr>
        <w:t>Behavior Research Methods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51</w:t>
      </w:r>
      <w:r>
        <w:rPr>
          <w:rFonts w:ascii="Times New Roman" w:eastAsia="Times New Roman" w:hAnsi="Times New Roman" w:cs="Times New Roman"/>
          <w:sz w:val="24"/>
          <w:szCs w:val="24"/>
          <w:highlight w:val="white"/>
        </w:rPr>
        <w:t>, 1919–1927. https://doi.org/10.3758/s13428-018-1174-5</w:t>
      </w:r>
    </w:p>
    <w:p w14:paraId="65047684" w14:textId="77777777" w:rsidR="007F49F8" w:rsidRDefault="00000000">
      <w:pPr>
        <w:spacing w:before="120" w:after="240" w:line="480" w:lineRule="auto"/>
        <w:rPr>
          <w:rFonts w:ascii="Times New Roman" w:eastAsia="Times New Roman" w:hAnsi="Times New Roman" w:cs="Times New Roman"/>
          <w:color w:val="4F81BD"/>
          <w:sz w:val="24"/>
          <w:szCs w:val="24"/>
          <w:highlight w:val="white"/>
          <w:u w:val="single"/>
        </w:rPr>
      </w:pPr>
      <w:r>
        <w:rPr>
          <w:rFonts w:ascii="Times New Roman" w:eastAsia="Times New Roman" w:hAnsi="Times New Roman" w:cs="Times New Roman"/>
          <w:sz w:val="24"/>
          <w:szCs w:val="24"/>
          <w:highlight w:val="white"/>
        </w:rPr>
        <w:t xml:space="preserve">Majid, A., &amp; Levinson, S. C. (2010). Weird languages have misled us, too. </w:t>
      </w:r>
      <w:r>
        <w:rPr>
          <w:rFonts w:ascii="Times New Roman" w:eastAsia="Times New Roman" w:hAnsi="Times New Roman" w:cs="Times New Roman"/>
          <w:i/>
          <w:sz w:val="24"/>
          <w:szCs w:val="24"/>
          <w:highlight w:val="white"/>
        </w:rPr>
        <w:t>Behavioral and Brain Sciences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33</w:t>
      </w:r>
      <w:r>
        <w:rPr>
          <w:rFonts w:ascii="Times New Roman" w:eastAsia="Times New Roman" w:hAnsi="Times New Roman" w:cs="Times New Roman"/>
          <w:sz w:val="24"/>
          <w:szCs w:val="24"/>
          <w:highlight w:val="white"/>
        </w:rPr>
        <w:t>(2-3), 103–103.</w:t>
      </w:r>
      <w:hyperlink r:id="rId21">
        <w:r>
          <w:rPr>
            <w:rFonts w:ascii="Times New Roman" w:eastAsia="Times New Roman" w:hAnsi="Times New Roman" w:cs="Times New Roman"/>
            <w:sz w:val="24"/>
            <w:szCs w:val="24"/>
            <w:highlight w:val="white"/>
          </w:rPr>
          <w:t xml:space="preserve"> </w:t>
        </w:r>
      </w:hyperlink>
      <w:hyperlink r:id="rId22">
        <w:r>
          <w:rPr>
            <w:rFonts w:ascii="Times New Roman" w:eastAsia="Times New Roman" w:hAnsi="Times New Roman" w:cs="Times New Roman"/>
            <w:color w:val="4F81BD"/>
            <w:sz w:val="24"/>
            <w:szCs w:val="24"/>
            <w:highlight w:val="white"/>
            <w:u w:val="single"/>
          </w:rPr>
          <w:t>https://doi.org/10.1017/s0140525x1000018x</w:t>
        </w:r>
      </w:hyperlink>
    </w:p>
    <w:p w14:paraId="77438E7A"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McCabe, A., Tamis-LeMonda, C. S., Bornstein, M. H., Brockmeyer Cates, C., Golinkoff, R., Wishard Guerra, A., &amp; others. (2013). Multilingual children beyond myths and toward best practices. </w:t>
      </w:r>
      <w:r>
        <w:rPr>
          <w:rFonts w:ascii="Times New Roman" w:eastAsia="Times New Roman" w:hAnsi="Times New Roman" w:cs="Times New Roman"/>
          <w:i/>
          <w:sz w:val="24"/>
          <w:szCs w:val="24"/>
          <w:highlight w:val="white"/>
        </w:rPr>
        <w:t>Social policy report,</w:t>
      </w:r>
      <w:r>
        <w:rPr>
          <w:rFonts w:ascii="Times New Roman" w:eastAsia="Times New Roman" w:hAnsi="Times New Roman" w:cs="Times New Roman"/>
          <w:sz w:val="24"/>
          <w:szCs w:val="24"/>
          <w:highlight w:val="white"/>
        </w:rPr>
        <w:t xml:space="preserve"> (27)4. Society for Research in Child Development.</w:t>
      </w:r>
    </w:p>
    <w:p w14:paraId="75BDC711"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Moriguchi, Y. (2022). Beyond bias to Western participants, authors, and editors in developmental science. </w:t>
      </w:r>
      <w:r>
        <w:rPr>
          <w:rFonts w:ascii="Times New Roman" w:eastAsia="Times New Roman" w:hAnsi="Times New Roman" w:cs="Times New Roman"/>
          <w:i/>
          <w:sz w:val="24"/>
          <w:szCs w:val="24"/>
          <w:highlight w:val="white"/>
        </w:rPr>
        <w:t>Infant and 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31</w:t>
      </w:r>
      <w:r>
        <w:rPr>
          <w:rFonts w:ascii="Times New Roman" w:eastAsia="Times New Roman" w:hAnsi="Times New Roman" w:cs="Times New Roman"/>
          <w:sz w:val="24"/>
          <w:szCs w:val="24"/>
          <w:highlight w:val="white"/>
        </w:rPr>
        <w:t>(1), e2256. https://doi.org/10.1002/icd.2256</w:t>
      </w:r>
    </w:p>
    <w:p w14:paraId="0C8AD4FC" w14:textId="77777777" w:rsidR="007F49F8" w:rsidRDefault="00000000">
      <w:pPr>
        <w:spacing w:before="120" w:after="240" w:line="480" w:lineRule="auto"/>
        <w:rPr>
          <w:rFonts w:ascii="Times New Roman" w:eastAsia="Times New Roman" w:hAnsi="Times New Roman" w:cs="Times New Roman"/>
          <w:sz w:val="24"/>
          <w:szCs w:val="24"/>
          <w:highlight w:val="white"/>
        </w:rPr>
      </w:pPr>
      <w:r w:rsidRPr="00B01038">
        <w:rPr>
          <w:rFonts w:ascii="Times New Roman" w:eastAsia="Times New Roman" w:hAnsi="Times New Roman" w:cs="Times New Roman"/>
          <w:sz w:val="24"/>
          <w:szCs w:val="24"/>
          <w:highlight w:val="white"/>
          <w:lang w:val="en-US"/>
        </w:rPr>
        <w:t xml:space="preserve">Nielsen, M., </w:t>
      </w:r>
      <w:proofErr w:type="spellStart"/>
      <w:r w:rsidRPr="00B01038">
        <w:rPr>
          <w:rFonts w:ascii="Times New Roman" w:eastAsia="Times New Roman" w:hAnsi="Times New Roman" w:cs="Times New Roman"/>
          <w:sz w:val="24"/>
          <w:szCs w:val="24"/>
          <w:highlight w:val="white"/>
          <w:lang w:val="en-US"/>
        </w:rPr>
        <w:t>Haun</w:t>
      </w:r>
      <w:proofErr w:type="spellEnd"/>
      <w:r w:rsidRPr="00B01038">
        <w:rPr>
          <w:rFonts w:ascii="Times New Roman" w:eastAsia="Times New Roman" w:hAnsi="Times New Roman" w:cs="Times New Roman"/>
          <w:sz w:val="24"/>
          <w:szCs w:val="24"/>
          <w:highlight w:val="white"/>
          <w:lang w:val="en-US"/>
        </w:rPr>
        <w:t xml:space="preserve">, D., </w:t>
      </w:r>
      <w:proofErr w:type="spellStart"/>
      <w:r w:rsidRPr="00B01038">
        <w:rPr>
          <w:rFonts w:ascii="Times New Roman" w:eastAsia="Times New Roman" w:hAnsi="Times New Roman" w:cs="Times New Roman"/>
          <w:sz w:val="24"/>
          <w:szCs w:val="24"/>
          <w:highlight w:val="white"/>
          <w:lang w:val="en-US"/>
        </w:rPr>
        <w:t>Kärtner</w:t>
      </w:r>
      <w:proofErr w:type="spellEnd"/>
      <w:r w:rsidRPr="00B01038">
        <w:rPr>
          <w:rFonts w:ascii="Times New Roman" w:eastAsia="Times New Roman" w:hAnsi="Times New Roman" w:cs="Times New Roman"/>
          <w:sz w:val="24"/>
          <w:szCs w:val="24"/>
          <w:highlight w:val="white"/>
          <w:lang w:val="en-US"/>
        </w:rPr>
        <w:t xml:space="preserve">, J., &amp; </w:t>
      </w:r>
      <w:proofErr w:type="spellStart"/>
      <w:r w:rsidRPr="00B01038">
        <w:rPr>
          <w:rFonts w:ascii="Times New Roman" w:eastAsia="Times New Roman" w:hAnsi="Times New Roman" w:cs="Times New Roman"/>
          <w:sz w:val="24"/>
          <w:szCs w:val="24"/>
          <w:highlight w:val="white"/>
          <w:lang w:val="en-US"/>
        </w:rPr>
        <w:t>Legare</w:t>
      </w:r>
      <w:proofErr w:type="spellEnd"/>
      <w:r w:rsidRPr="00B01038">
        <w:rPr>
          <w:rFonts w:ascii="Times New Roman" w:eastAsia="Times New Roman" w:hAnsi="Times New Roman" w:cs="Times New Roman"/>
          <w:sz w:val="24"/>
          <w:szCs w:val="24"/>
          <w:highlight w:val="white"/>
          <w:lang w:val="en-US"/>
        </w:rPr>
        <w:t xml:space="preserve">, C. H. (2017). </w:t>
      </w:r>
      <w:r>
        <w:rPr>
          <w:rFonts w:ascii="Times New Roman" w:eastAsia="Times New Roman" w:hAnsi="Times New Roman" w:cs="Times New Roman"/>
          <w:sz w:val="24"/>
          <w:szCs w:val="24"/>
          <w:highlight w:val="white"/>
        </w:rPr>
        <w:t xml:space="preserve">The persistent sampling bias in developmental psychology: A call to action. </w:t>
      </w:r>
      <w:r>
        <w:rPr>
          <w:rFonts w:ascii="Times New Roman" w:eastAsia="Times New Roman" w:hAnsi="Times New Roman" w:cs="Times New Roman"/>
          <w:i/>
          <w:sz w:val="24"/>
          <w:szCs w:val="24"/>
          <w:highlight w:val="white"/>
        </w:rPr>
        <w:t>Journal of Experimental Child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162</w:t>
      </w:r>
      <w:r>
        <w:rPr>
          <w:rFonts w:ascii="Times New Roman" w:eastAsia="Times New Roman" w:hAnsi="Times New Roman" w:cs="Times New Roman"/>
          <w:sz w:val="24"/>
          <w:szCs w:val="24"/>
          <w:highlight w:val="white"/>
        </w:rPr>
        <w:t>, 31–38. https://doi.org/10.1016/j.jecp.2017.04.017</w:t>
      </w:r>
    </w:p>
    <w:p w14:paraId="45197A20"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Oshima-Takane, Y., Goodz, E., &amp; Derevensky, J. L. (1996). Birth order effects on early language development: Do secondborn children learn from overheard speech? </w:t>
      </w:r>
      <w:r>
        <w:rPr>
          <w:rFonts w:ascii="Times New Roman" w:eastAsia="Times New Roman" w:hAnsi="Times New Roman" w:cs="Times New Roman"/>
          <w:i/>
          <w:sz w:val="24"/>
          <w:szCs w:val="24"/>
          <w:highlight w:val="white"/>
        </w:rPr>
        <w:t>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67</w:t>
      </w:r>
      <w:r>
        <w:rPr>
          <w:rFonts w:ascii="Times New Roman" w:eastAsia="Times New Roman" w:hAnsi="Times New Roman" w:cs="Times New Roman"/>
          <w:sz w:val="24"/>
          <w:szCs w:val="24"/>
          <w:highlight w:val="white"/>
        </w:rPr>
        <w:t>(2), 621–634. https://doi.org/10.2307/1131833</w:t>
      </w:r>
    </w:p>
    <w:p w14:paraId="7D6EE866"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Peyre, H., Bernard, J. Y., Hoertel, N., Forhan, A., Charles, M.-A., De Agostini, M., et al.others. (2016). Differential effects of factors influencing cognitive development at the age of 5-to-6 years. </w:t>
      </w:r>
      <w:r>
        <w:rPr>
          <w:rFonts w:ascii="Times New Roman" w:eastAsia="Times New Roman" w:hAnsi="Times New Roman" w:cs="Times New Roman"/>
          <w:i/>
          <w:sz w:val="24"/>
          <w:szCs w:val="24"/>
          <w:highlight w:val="white"/>
        </w:rPr>
        <w:t>Cognitive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40</w:t>
      </w:r>
      <w:r>
        <w:rPr>
          <w:rFonts w:ascii="Times New Roman" w:eastAsia="Times New Roman" w:hAnsi="Times New Roman" w:cs="Times New Roman"/>
          <w:sz w:val="24"/>
          <w:szCs w:val="24"/>
          <w:highlight w:val="white"/>
        </w:rPr>
        <w:t>, 152–162. https://doi.org/10.1016/j.cogdev.2016.10.003</w:t>
      </w:r>
    </w:p>
    <w:p w14:paraId="22D69BE6"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Pye, C. L. (1980). </w:t>
      </w:r>
      <w:r>
        <w:rPr>
          <w:rFonts w:ascii="Times New Roman" w:eastAsia="Times New Roman" w:hAnsi="Times New Roman" w:cs="Times New Roman"/>
          <w:i/>
          <w:sz w:val="24"/>
          <w:szCs w:val="24"/>
          <w:highlight w:val="white"/>
        </w:rPr>
        <w:t>The acquisition of grammatical morphemes in Quiche Mayan</w:t>
      </w:r>
      <w:r>
        <w:rPr>
          <w:rFonts w:ascii="Times New Roman" w:eastAsia="Times New Roman" w:hAnsi="Times New Roman" w:cs="Times New Roman"/>
          <w:sz w:val="24"/>
          <w:szCs w:val="24"/>
          <w:highlight w:val="white"/>
        </w:rPr>
        <w:t xml:space="preserve"> [PhD Thesis]. University of Pittsburgh.</w:t>
      </w:r>
    </w:p>
    <w:p w14:paraId="1E27905D"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Pye, C., &amp; Poz, P. Q. (1988). </w:t>
      </w:r>
      <w:r>
        <w:rPr>
          <w:rFonts w:ascii="Times New Roman" w:eastAsia="Times New Roman" w:hAnsi="Times New Roman" w:cs="Times New Roman"/>
          <w:i/>
          <w:sz w:val="24"/>
          <w:szCs w:val="24"/>
          <w:highlight w:val="white"/>
        </w:rPr>
        <w:t>P</w:t>
      </w:r>
      <w:r>
        <w:rPr>
          <w:rFonts w:ascii="Times New Roman" w:eastAsia="Times New Roman" w:hAnsi="Times New Roman" w:cs="Times New Roman"/>
          <w:sz w:val="24"/>
          <w:szCs w:val="24"/>
          <w:highlight w:val="white"/>
        </w:rPr>
        <w:t>recocious passives (and antipassives) in Quiche Mayan.</w:t>
      </w:r>
      <w:r>
        <w:rPr>
          <w:rFonts w:ascii="Times New Roman" w:eastAsia="Times New Roman" w:hAnsi="Times New Roman" w:cs="Times New Roman"/>
          <w:i/>
          <w:sz w:val="24"/>
          <w:szCs w:val="24"/>
          <w:highlight w:val="white"/>
        </w:rPr>
        <w:t xml:space="preserve"> Journal of Child Language, 15</w:t>
      </w:r>
      <w:r>
        <w:rPr>
          <w:rFonts w:ascii="Times New Roman" w:eastAsia="Times New Roman" w:hAnsi="Times New Roman" w:cs="Times New Roman"/>
          <w:sz w:val="24"/>
          <w:szCs w:val="24"/>
          <w:highlight w:val="white"/>
        </w:rPr>
        <w:t>(1), 129–135. https://doi.org/10.1017/S0305000900013616</w:t>
      </w:r>
    </w:p>
    <w:p w14:paraId="6ED9F009"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Richman, A. L., Miller, P. M., &amp; LeVine, R. A. (1992). Cultural and educational variations in maternal responsiveness. </w:t>
      </w:r>
      <w:r>
        <w:rPr>
          <w:rFonts w:ascii="Times New Roman" w:eastAsia="Times New Roman" w:hAnsi="Times New Roman" w:cs="Times New Roman"/>
          <w:i/>
          <w:sz w:val="24"/>
          <w:szCs w:val="24"/>
          <w:highlight w:val="white"/>
        </w:rPr>
        <w:t>Developmental Psychology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28</w:t>
      </w:r>
      <w:r>
        <w:rPr>
          <w:rFonts w:ascii="Times New Roman" w:eastAsia="Times New Roman" w:hAnsi="Times New Roman" w:cs="Times New Roman"/>
          <w:sz w:val="24"/>
          <w:szCs w:val="24"/>
          <w:highlight w:val="white"/>
        </w:rPr>
        <w:t>(4), 614. https://doi.org/10.1037/0012-1649.28.4.614</w:t>
      </w:r>
    </w:p>
    <w:p w14:paraId="39DA8893"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Rowe, M. L. (2018). Understanding socioeconomic differences in parents’ speech to children. </w:t>
      </w:r>
      <w:r>
        <w:rPr>
          <w:rFonts w:ascii="Times New Roman" w:eastAsia="Times New Roman" w:hAnsi="Times New Roman" w:cs="Times New Roman"/>
          <w:i/>
          <w:sz w:val="24"/>
          <w:szCs w:val="24"/>
          <w:highlight w:val="white"/>
        </w:rPr>
        <w:t>Child Development Perspectives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12</w:t>
      </w:r>
      <w:r>
        <w:rPr>
          <w:rFonts w:ascii="Times New Roman" w:eastAsia="Times New Roman" w:hAnsi="Times New Roman" w:cs="Times New Roman"/>
          <w:sz w:val="24"/>
          <w:szCs w:val="24"/>
          <w:highlight w:val="white"/>
        </w:rPr>
        <w:t>(2), 122–127. https://doi.org/10.1111/cdep.12274</w:t>
      </w:r>
    </w:p>
    <w:p w14:paraId="0FB63A4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Sarvasy, H. (2017). </w:t>
      </w:r>
      <w:r>
        <w:rPr>
          <w:rFonts w:ascii="Times New Roman" w:eastAsia="Times New Roman" w:hAnsi="Times New Roman" w:cs="Times New Roman"/>
          <w:i/>
          <w:sz w:val="24"/>
          <w:szCs w:val="24"/>
          <w:highlight w:val="white"/>
        </w:rPr>
        <w:t>A grammar of Nungon: A papuan language of Northeast New Guinea</w:t>
      </w:r>
      <w:r>
        <w:rPr>
          <w:rFonts w:ascii="Times New Roman" w:eastAsia="Times New Roman" w:hAnsi="Times New Roman" w:cs="Times New Roman"/>
          <w:sz w:val="24"/>
          <w:szCs w:val="24"/>
          <w:highlight w:val="white"/>
        </w:rPr>
        <w:t xml:space="preserve"> (Vol. 4). Brill.</w:t>
      </w:r>
    </w:p>
    <w:p w14:paraId="5CE5BB0F"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Scaff, C., Casillas, M., Stieglitz, J., &amp; Cristia, A. (2024). Characterization of children’s verbal input in a forager-farmer population using long-form audio recordings and diverse input definitions. </w:t>
      </w:r>
      <w:r>
        <w:rPr>
          <w:rFonts w:ascii="Times New Roman" w:eastAsia="Times New Roman" w:hAnsi="Times New Roman" w:cs="Times New Roman"/>
          <w:i/>
          <w:sz w:val="24"/>
          <w:szCs w:val="24"/>
          <w:highlight w:val="white"/>
        </w:rPr>
        <w:t>Infancy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29</w:t>
      </w:r>
      <w:r>
        <w:rPr>
          <w:rFonts w:ascii="Times New Roman" w:eastAsia="Times New Roman" w:hAnsi="Times New Roman" w:cs="Times New Roman"/>
          <w:sz w:val="24"/>
          <w:szCs w:val="24"/>
          <w:highlight w:val="white"/>
        </w:rPr>
        <w:t>(2), 196–215. https://doi.org/10.1111/infa.12534</w:t>
      </w:r>
    </w:p>
    <w:p w14:paraId="74461A6B"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Sharma, D., &amp; LeVine, R. A. (1998). Child care in India: A comparative developmental view of infant social environments. </w:t>
      </w:r>
      <w:r>
        <w:rPr>
          <w:rFonts w:ascii="Times New Roman" w:eastAsia="Times New Roman" w:hAnsi="Times New Roman" w:cs="Times New Roman"/>
          <w:i/>
          <w:sz w:val="24"/>
          <w:szCs w:val="24"/>
          <w:highlight w:val="white"/>
        </w:rPr>
        <w:t>New Directions for Child and Adolescent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81</w:t>
      </w:r>
      <w:r>
        <w:rPr>
          <w:rFonts w:ascii="Times New Roman" w:eastAsia="Times New Roman" w:hAnsi="Times New Roman" w:cs="Times New Roman"/>
          <w:sz w:val="24"/>
          <w:szCs w:val="24"/>
          <w:highlight w:val="white"/>
        </w:rPr>
        <w:t>, 45–67. https://doi.org/10.1002/cd.23219988105</w:t>
      </w:r>
    </w:p>
    <w:p w14:paraId="40707142"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Simon, K. R., Merz, E. C., He, X., &amp; Noble, K. G. (2022). Environmental noise, brain structure, and language development in children. </w:t>
      </w:r>
      <w:r>
        <w:rPr>
          <w:rFonts w:ascii="Times New Roman" w:eastAsia="Times New Roman" w:hAnsi="Times New Roman" w:cs="Times New Roman"/>
          <w:i/>
          <w:sz w:val="24"/>
          <w:szCs w:val="24"/>
          <w:highlight w:val="white"/>
        </w:rPr>
        <w:t>Brain and Language</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229</w:t>
      </w:r>
      <w:r>
        <w:rPr>
          <w:rFonts w:ascii="Times New Roman" w:eastAsia="Times New Roman" w:hAnsi="Times New Roman" w:cs="Times New Roman"/>
          <w:sz w:val="24"/>
          <w:szCs w:val="24"/>
          <w:highlight w:val="white"/>
        </w:rPr>
        <w:t>, 105112. https://doi.org/10.1016/j.bandl.2022.105112</w:t>
      </w:r>
    </w:p>
    <w:p w14:paraId="34B5CA84" w14:textId="77777777" w:rsidR="007F49F8" w:rsidRDefault="00000000">
      <w:pPr>
        <w:spacing w:before="120" w:after="240" w:line="480" w:lineRule="auto"/>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lastRenderedPageBreak/>
        <w:t xml:space="preserve">Singh, L., Rajendra, S. J., &amp; Mazuka, R. (2022). Diversity and representation in studies of infant perceptual narrowing. Child Development Perspectives, 16(4), 191-199. </w:t>
      </w:r>
      <w:hyperlink r:id="rId23">
        <w:r>
          <w:rPr>
            <w:rFonts w:ascii="Times New Roman" w:eastAsia="Times New Roman" w:hAnsi="Times New Roman" w:cs="Times New Roman"/>
            <w:color w:val="1155CC"/>
            <w:sz w:val="24"/>
            <w:szCs w:val="24"/>
            <w:highlight w:val="white"/>
            <w:u w:val="single"/>
          </w:rPr>
          <w:t>https://doi.org/10.1111/cdep.12450</w:t>
        </w:r>
      </w:hyperlink>
    </w:p>
    <w:p w14:paraId="3D27061E" w14:textId="77777777" w:rsidR="007F49F8" w:rsidRDefault="00000000">
      <w:pPr>
        <w:spacing w:before="120" w:after="240" w:line="480" w:lineRule="auto"/>
        <w:rPr>
          <w:rFonts w:ascii="Times New Roman" w:eastAsia="Times New Roman" w:hAnsi="Times New Roman" w:cs="Times New Roman"/>
          <w:color w:val="444746"/>
          <w:sz w:val="24"/>
          <w:szCs w:val="24"/>
          <w:highlight w:val="white"/>
        </w:rPr>
      </w:pPr>
      <w:r>
        <w:rPr>
          <w:rFonts w:ascii="Times New Roman" w:eastAsia="Times New Roman" w:hAnsi="Times New Roman" w:cs="Times New Roman"/>
          <w:color w:val="444746"/>
          <w:sz w:val="24"/>
          <w:szCs w:val="24"/>
          <w:highlight w:val="white"/>
        </w:rPr>
        <w:t>Singh, L., Barokova, M. D., Baumgartner, H. A., Lopera-Perez, D. C., Omane, P. O., Sheskin, M., ... &amp; Frank, M. C. (2023). A unified approach to demographic data collection for research with young children across diverse cultures. Developmental Psychology. https://doi.org/10.1037/dev0001532</w:t>
      </w:r>
    </w:p>
    <w:p w14:paraId="1D227069"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Singh, L., Cristia, A., Karasik, L. B., Rajendra, S. J., &amp; Oakes, L. M. (2023). Diversity and representation in infant research: Barriers and bridges toward a globalized science of infant development. </w:t>
      </w:r>
      <w:r>
        <w:rPr>
          <w:rFonts w:ascii="Times New Roman" w:eastAsia="Times New Roman" w:hAnsi="Times New Roman" w:cs="Times New Roman"/>
          <w:i/>
          <w:sz w:val="24"/>
          <w:szCs w:val="24"/>
          <w:highlight w:val="white"/>
        </w:rPr>
        <w:t>Infancy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28</w:t>
      </w:r>
      <w:r>
        <w:rPr>
          <w:rFonts w:ascii="Times New Roman" w:eastAsia="Times New Roman" w:hAnsi="Times New Roman" w:cs="Times New Roman"/>
          <w:sz w:val="24"/>
          <w:szCs w:val="24"/>
          <w:highlight w:val="white"/>
        </w:rPr>
        <w:t>(4), 708–737. https://doi.org/10.1111/infa.12547</w:t>
      </w:r>
    </w:p>
    <w:p w14:paraId="4D3F38DF"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Sperry, D. E., Sperry, L. L., &amp; Miller, P. J. (2019). Reexamining the verbal environments of children from different socioeconomic backgrounds. </w:t>
      </w:r>
      <w:r>
        <w:rPr>
          <w:rFonts w:ascii="Times New Roman" w:eastAsia="Times New Roman" w:hAnsi="Times New Roman" w:cs="Times New Roman"/>
          <w:i/>
          <w:sz w:val="24"/>
          <w:szCs w:val="24"/>
          <w:highlight w:val="white"/>
        </w:rPr>
        <w:t>Child Development</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90</w:t>
      </w:r>
      <w:r>
        <w:rPr>
          <w:rFonts w:ascii="Times New Roman" w:eastAsia="Times New Roman" w:hAnsi="Times New Roman" w:cs="Times New Roman"/>
          <w:sz w:val="24"/>
          <w:szCs w:val="24"/>
          <w:highlight w:val="white"/>
        </w:rPr>
        <w:t>(4), 1303–1318. https://doi.org/10.1111/cdev.13195</w:t>
      </w:r>
    </w:p>
    <w:p w14:paraId="0D759CDB"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Tomasello, M., &amp; Mannle, S. (1985). Pragmatics of sibling speech to one-year-olds. </w:t>
      </w:r>
      <w:r>
        <w:rPr>
          <w:rFonts w:ascii="Times New Roman" w:eastAsia="Times New Roman" w:hAnsi="Times New Roman" w:cs="Times New Roman"/>
          <w:i/>
          <w:sz w:val="24"/>
          <w:szCs w:val="24"/>
          <w:highlight w:val="white"/>
        </w:rPr>
        <w:t>Child Development, 56</w:t>
      </w:r>
      <w:r>
        <w:rPr>
          <w:rFonts w:ascii="Times New Roman" w:eastAsia="Times New Roman" w:hAnsi="Times New Roman" w:cs="Times New Roman"/>
          <w:sz w:val="24"/>
          <w:szCs w:val="24"/>
          <w:highlight w:val="white"/>
        </w:rPr>
        <w:t>(4), 911–917. https://doi.org/10.2307/1130104</w:t>
      </w:r>
    </w:p>
    <w:p w14:paraId="740F28DD"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Vogt, P., Masson-Carro, I., &amp; de Jong, C. (2021). </w:t>
      </w:r>
      <w:r>
        <w:rPr>
          <w:rFonts w:ascii="Times New Roman" w:eastAsia="Times New Roman" w:hAnsi="Times New Roman" w:cs="Times New Roman"/>
          <w:i/>
          <w:sz w:val="24"/>
          <w:szCs w:val="24"/>
          <w:highlight w:val="white"/>
        </w:rPr>
        <w:t>Multimodal interactions among infants in three radically different learning environments. Journal of Child Language, 48</w:t>
      </w:r>
      <w:r>
        <w:rPr>
          <w:rFonts w:ascii="Times New Roman" w:eastAsia="Times New Roman" w:hAnsi="Times New Roman" w:cs="Times New Roman"/>
          <w:sz w:val="24"/>
          <w:szCs w:val="24"/>
          <w:highlight w:val="white"/>
        </w:rPr>
        <w:t>(4), 787–808. https://doi.org/10.1017/S0305000921000343</w:t>
      </w:r>
    </w:p>
    <w:p w14:paraId="049FA60B" w14:textId="77777777" w:rsidR="007F49F8" w:rsidRDefault="00000000">
      <w:pPr>
        <w:spacing w:before="120"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Warstadt, A., Choshen, L., Mueller, A., Williams, A., Wilcox, E., &amp; Zhuang, C. (2023). Call for Papers--The BabyLM Challenge: Sample-efficient pretraining on a developmentally plausible corpus. </w:t>
      </w:r>
      <w:r>
        <w:rPr>
          <w:rFonts w:ascii="Times New Roman" w:eastAsia="Times New Roman" w:hAnsi="Times New Roman" w:cs="Times New Roman"/>
          <w:i/>
          <w:color w:val="222222"/>
          <w:sz w:val="24"/>
          <w:szCs w:val="24"/>
          <w:highlight w:val="white"/>
        </w:rPr>
        <w:t>arXiv preprint arXiv:2301.11796</w:t>
      </w:r>
      <w:r>
        <w:rPr>
          <w:rFonts w:ascii="Times New Roman" w:eastAsia="Times New Roman" w:hAnsi="Times New Roman" w:cs="Times New Roman"/>
          <w:color w:val="222222"/>
          <w:sz w:val="24"/>
          <w:szCs w:val="24"/>
          <w:highlight w:val="white"/>
        </w:rPr>
        <w:t>.</w:t>
      </w:r>
    </w:p>
    <w:p w14:paraId="7BB19BEE" w14:textId="77777777" w:rsidR="007F49F8" w:rsidRDefault="00000000">
      <w:pPr>
        <w:spacing w:before="120" w:after="240" w:line="480" w:lineRule="auto"/>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World Values Survey Association. (2020). World Values Survey: Round Seven - Country-Pooled Datafile Version. Madrid, Spain &amp; Vienna, Austria: JD Systems Institute. Retrieved from https://www.worldvaluessurvey.org/WVSDocumentationWV7.jsp.</w:t>
      </w:r>
    </w:p>
    <w:p w14:paraId="67B7F28B" w14:textId="77777777" w:rsidR="007F49F8" w:rsidRDefault="00000000">
      <w:pPr>
        <w:spacing w:before="120" w:after="240"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Zambrana, I. M., Ystrom, E., &amp; Pons, F. (2012). Impact of gender, maternal education, and birth order on the development of language comprehension: A longitudinal study from 18 to 36 months of age. </w:t>
      </w:r>
      <w:r>
        <w:rPr>
          <w:rFonts w:ascii="Times New Roman" w:eastAsia="Times New Roman" w:hAnsi="Times New Roman" w:cs="Times New Roman"/>
          <w:i/>
          <w:sz w:val="24"/>
          <w:szCs w:val="24"/>
          <w:highlight w:val="white"/>
        </w:rPr>
        <w:t>Journal of Developmental &amp; Behavioral Pediatrics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33</w:t>
      </w:r>
      <w:r>
        <w:rPr>
          <w:rFonts w:ascii="Times New Roman" w:eastAsia="Times New Roman" w:hAnsi="Times New Roman" w:cs="Times New Roman"/>
          <w:sz w:val="24"/>
          <w:szCs w:val="24"/>
          <w:highlight w:val="white"/>
        </w:rPr>
        <w:t>(2), 146–155. https://doi.org/10.1097/DBP.0b013e3182423aab</w:t>
      </w:r>
    </w:p>
    <w:p w14:paraId="16E0ACB8" w14:textId="77777777" w:rsidR="007F49F8" w:rsidRDefault="007F49F8">
      <w:pPr>
        <w:spacing w:line="480" w:lineRule="auto"/>
        <w:ind w:firstLine="720"/>
        <w:rPr>
          <w:rFonts w:ascii="Times New Roman" w:eastAsia="Times New Roman" w:hAnsi="Times New Roman" w:cs="Times New Roman"/>
          <w:sz w:val="24"/>
          <w:szCs w:val="24"/>
          <w:highlight w:val="white"/>
        </w:rPr>
      </w:pPr>
    </w:p>
    <w:sectPr w:rsidR="007F49F8">
      <w:headerReference w:type="default" r:id="rId24"/>
      <w:footerReference w:type="default" r:id="rId2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E54DD" w14:textId="77777777" w:rsidR="00DB7BC4" w:rsidRDefault="00DB7BC4">
      <w:pPr>
        <w:spacing w:line="240" w:lineRule="auto"/>
      </w:pPr>
      <w:r>
        <w:separator/>
      </w:r>
    </w:p>
  </w:endnote>
  <w:endnote w:type="continuationSeparator" w:id="0">
    <w:p w14:paraId="4050B193" w14:textId="77777777" w:rsidR="00DB7BC4" w:rsidRDefault="00DB7B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DCDCC" w14:textId="77777777" w:rsidR="007F49F8"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6A37D6">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79C0B9" w14:textId="77777777" w:rsidR="00DB7BC4" w:rsidRDefault="00DB7BC4">
      <w:pPr>
        <w:spacing w:line="240" w:lineRule="auto"/>
      </w:pPr>
      <w:r>
        <w:separator/>
      </w:r>
    </w:p>
  </w:footnote>
  <w:footnote w:type="continuationSeparator" w:id="0">
    <w:p w14:paraId="40F20B9C" w14:textId="77777777" w:rsidR="00DB7BC4" w:rsidRDefault="00DB7BC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0428C5" w14:textId="77777777" w:rsidR="007F49F8" w:rsidRDefault="007F49F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06373D"/>
    <w:multiLevelType w:val="multilevel"/>
    <w:tmpl w:val="D5EC49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91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49F8"/>
    <w:rsid w:val="00083DAB"/>
    <w:rsid w:val="00293551"/>
    <w:rsid w:val="006A37D6"/>
    <w:rsid w:val="007F49F8"/>
    <w:rsid w:val="00973B28"/>
    <w:rsid w:val="00A30325"/>
    <w:rsid w:val="00B01038"/>
    <w:rsid w:val="00DB7BC4"/>
    <w:rsid w:val="00E72E20"/>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3E662CF"/>
  <w15:docId w15:val="{63B07860-4E95-A343-915D-A1E4F9510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hd w:val="clear" w:color="auto" w:fill="FFFFFF"/>
      <w:spacing w:before="400" w:after="120" w:line="480" w:lineRule="auto"/>
      <w:ind w:firstLine="720"/>
      <w:outlineLvl w:val="0"/>
    </w:pPr>
    <w:rPr>
      <w:sz w:val="40"/>
      <w:szCs w:val="40"/>
    </w:rPr>
  </w:style>
  <w:style w:type="paragraph" w:styleId="Heading2">
    <w:name w:val="heading 2"/>
    <w:basedOn w:val="Normal"/>
    <w:next w:val="Normal"/>
    <w:uiPriority w:val="9"/>
    <w:unhideWhenUsed/>
    <w:qFormat/>
    <w:pPr>
      <w:keepNext/>
      <w:keepLines/>
      <w:spacing w:line="48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line="480" w:lineRule="auto"/>
      <w:outlineLvl w:val="3"/>
    </w:pPr>
    <w:rPr>
      <w:rFonts w:ascii="Times New Roman" w:eastAsia="Times New Roman" w:hAnsi="Times New Roman" w:cs="Times New Roman"/>
      <w:b/>
      <w:i/>
      <w:sz w:val="24"/>
      <w:szCs w:val="24"/>
      <w:highlight w:val="white"/>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scholar.google.co.il/citations?user=a802HlgAAAAJ&amp;hl=en&amp;oi=sra" TargetMode="External"/><Relationship Id="rId13" Type="http://schemas.openxmlformats.org/officeDocument/2006/relationships/image" Target="media/image5.png"/><Relationship Id="rId18" Type="http://schemas.openxmlformats.org/officeDocument/2006/relationships/hyperlink" Target="https://doi.org/10.2307/206094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i.org/10.1017/s0140525x1000018x" TargetMode="External"/><Relationship Id="rId7" Type="http://schemas.openxmlformats.org/officeDocument/2006/relationships/hyperlink" Target="https://www.zotero.org/google-docs/?9vsogx" TargetMode="External"/><Relationship Id="rId12" Type="http://schemas.openxmlformats.org/officeDocument/2006/relationships/image" Target="media/image4.png"/><Relationship Id="rId17" Type="http://schemas.openxmlformats.org/officeDocument/2006/relationships/hyperlink" Target="https://doi.org/10.1073/pnas.230067112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1111/j.1467-9280.1991.tb00174.x" TargetMode="External"/><Relationship Id="rId20" Type="http://schemas.openxmlformats.org/officeDocument/2006/relationships/hyperlink" Target="https://doi.org/10.1017/9781009210409.01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1111/cdep.12450" TargetMode="External"/><Relationship Id="rId10" Type="http://schemas.openxmlformats.org/officeDocument/2006/relationships/image" Target="media/image2.png"/><Relationship Id="rId19" Type="http://schemas.openxmlformats.org/officeDocument/2006/relationships/hyperlink" Target="https://doi.org/10.1017/9781009210409.010"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i.org/10.1017/s0140525x1000018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A04B25-3967-1D42-B5B1-D2124CF3958E}">
  <we:reference id="wa200001482" version="1.0.5.0" store="en-US" storeType="OMEX"/>
  <we:alternateReferences>
    <we:reference id="WA200001482" version="1.0.5.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.~WRD0000</Template>
  <TotalTime>9</TotalTime>
  <Pages>31</Pages>
  <Words>6216</Words>
  <Characters>35433</Characters>
  <Application>Microsoft Office Word</Application>
  <DocSecurity>0</DocSecurity>
  <Lines>295</Lines>
  <Paragraphs>83</Paragraphs>
  <ScaleCrop>false</ScaleCrop>
  <Company/>
  <LinksUpToDate>false</LinksUpToDate>
  <CharactersWithSpaces>41566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Camila Scaff</cp:lastModifiedBy>
  <cp:revision>4</cp:revision>
  <dcterms:created xsi:type="dcterms:W3CDTF">2024-08-22T09:55:00Z</dcterms:created>
  <dcterms:modified xsi:type="dcterms:W3CDTF">2024-08-22T10:58:00Z</dcterms:modified>
</cp:coreProperties>
</file>