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rPr>
      </w:pPr>
      <w:bookmarkStart w:colFirst="0" w:colLast="0" w:name="_heading=h.srp7axhb7ulc" w:id="0"/>
      <w:bookmarkEnd w:id="0"/>
      <w:r w:rsidDel="00000000" w:rsidR="00000000" w:rsidRPr="00000000">
        <w:rPr>
          <w:rFonts w:ascii="Times New Roman" w:cs="Times New Roman" w:eastAsia="Times New Roman" w:hAnsi="Times New Roman"/>
          <w:color w:val="000000"/>
          <w:rtl w:val="0"/>
        </w:rPr>
        <w:t xml:space="preserve">Supplementary Materials</w:t>
      </w:r>
      <w:r w:rsidDel="00000000" w:rsidR="00000000" w:rsidRPr="00000000">
        <w:rPr>
          <w:rFonts w:ascii="Times New Roman" w:cs="Times New Roman" w:eastAsia="Times New Roman" w:hAnsi="Times New Roman"/>
          <w:color w:val="000000"/>
          <w:rtl w:val="0"/>
        </w:rPr>
        <w:t xml:space="preserve"> to Demographic Biases in Naturalistic Language Recordings in the CHILDES Database</w:t>
      </w:r>
    </w:p>
    <w:p w:rsidR="00000000" w:rsidDel="00000000" w:rsidP="00000000" w:rsidRDefault="00000000" w:rsidRPr="00000000" w14:paraId="00000002">
      <w:pPr>
        <w:pStyle w:val="Heading2"/>
        <w:rPr>
          <w:rFonts w:ascii="Times New Roman" w:cs="Times New Roman" w:eastAsia="Times New Roman" w:hAnsi="Times New Roman"/>
          <w:color w:val="000000"/>
          <w:sz w:val="24"/>
          <w:szCs w:val="24"/>
        </w:rPr>
      </w:pPr>
      <w:bookmarkStart w:colFirst="0" w:colLast="0" w:name="_heading=h.msfpsybt4kgz" w:id="1"/>
      <w:bookmarkEnd w:id="1"/>
      <w:r w:rsidDel="00000000" w:rsidR="00000000" w:rsidRPr="00000000">
        <w:rPr>
          <w:rFonts w:ascii="Times New Roman" w:cs="Times New Roman" w:eastAsia="Times New Roman" w:hAnsi="Times New Roman"/>
          <w:color w:val="000000"/>
          <w:sz w:val="24"/>
          <w:szCs w:val="24"/>
          <w:rtl w:val="0"/>
        </w:rPr>
        <w:t xml:space="preserve">SM1: Additional information about data entry</w:t>
      </w:r>
    </w:p>
    <w:p w:rsidR="00000000" w:rsidDel="00000000" w:rsidP="00000000" w:rsidRDefault="00000000" w:rsidRPr="00000000" w14:paraId="00000003">
      <w:pPr>
        <w:pStyle w:val="Heading3"/>
        <w:rPr>
          <w:rFonts w:ascii="Times New Roman" w:cs="Times New Roman" w:eastAsia="Times New Roman" w:hAnsi="Times New Roman"/>
          <w:color w:val="000000"/>
        </w:rPr>
      </w:pPr>
      <w:bookmarkStart w:colFirst="0" w:colLast="0" w:name="_heading=h.djdsy4z7qj7i" w:id="2"/>
      <w:bookmarkEnd w:id="2"/>
      <w:r w:rsidDel="00000000" w:rsidR="00000000" w:rsidRPr="00000000">
        <w:rPr>
          <w:rFonts w:ascii="Times New Roman" w:cs="Times New Roman" w:eastAsia="Times New Roman" w:hAnsi="Times New Roman"/>
          <w:color w:val="000000"/>
          <w:rtl w:val="0"/>
        </w:rPr>
        <w:t xml:space="preserve">SM1.1: Sources used for Figure 2 - Country level data</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figure is to illustrate how representative the countries in our CHILDES sample are compared to global distributions. We assessed socioeconomic status (SES) using two key indicators: education and income. For education, we used data from Our World in Data (2022), which compiles information from various official sources. Specifically, we obtained data on the proportion of the population that had completed lower secondary education (from 2007-2015). For income, we utilized the World Bank’s World Development Indicators (WDI) via the WDI package in R (Arel-Bundock, 2021), focusing on Gross Domestic Product (GDP) per capita (log-transformed to base 10) in 2017 US dollars adjusted for purchasing power parity, reflecting the relative wealth of countries. To measure urbanization, we used the percentage of the population living in urban areas, sourced from the World Bank’s WDI. Since this indicator initially represented the rural population proportion, we adjusted it to represent urbanization by calculating the complement to 100%. We used data from 2022, as it was the year with the most information for this variable. For family structure, we referred to the average household size, based on data from the UN’s Household Size and Composition database (2000-2022; United Nations, 2022). This measure shows the average number of individuals per household, a proxy of the family structure variable across different countries.</w:t>
      </w:r>
    </w:p>
    <w:p w:rsidR="00000000" w:rsidDel="00000000" w:rsidP="00000000" w:rsidRDefault="00000000" w:rsidRPr="00000000" w14:paraId="00000005">
      <w:pPr>
        <w:pStyle w:val="Heading3"/>
        <w:rPr>
          <w:rFonts w:ascii="Times New Roman" w:cs="Times New Roman" w:eastAsia="Times New Roman" w:hAnsi="Times New Roman"/>
          <w:color w:val="000000"/>
        </w:rPr>
      </w:pPr>
      <w:bookmarkStart w:colFirst="0" w:colLast="0" w:name="_heading=h.h7hqrgykvev4" w:id="3"/>
      <w:bookmarkEnd w:id="3"/>
      <w:r w:rsidDel="00000000" w:rsidR="00000000" w:rsidRPr="00000000">
        <w:rPr>
          <w:rFonts w:ascii="Times New Roman" w:cs="Times New Roman" w:eastAsia="Times New Roman" w:hAnsi="Times New Roman"/>
          <w:color w:val="000000"/>
          <w:rtl w:val="0"/>
        </w:rPr>
        <w:t xml:space="preserve">SM1.2: Sources used for stacked frequency plots - Corpus level data</w:t>
      </w:r>
    </w:p>
    <w:p w:rsidR="00000000" w:rsidDel="00000000" w:rsidP="00000000" w:rsidRDefault="00000000" w:rsidRPr="00000000" w14:paraId="00000006">
      <w:pPr>
        <w:pStyle w:val="Heading4"/>
        <w:rPr>
          <w:rFonts w:ascii="Times New Roman" w:cs="Times New Roman" w:eastAsia="Times New Roman" w:hAnsi="Times New Roman"/>
          <w:color w:val="000000"/>
        </w:rPr>
      </w:pPr>
      <w:bookmarkStart w:colFirst="0" w:colLast="0" w:name="_heading=h.qnjlzty5j7au" w:id="4"/>
      <w:bookmarkEnd w:id="4"/>
      <w:r w:rsidDel="00000000" w:rsidR="00000000" w:rsidRPr="00000000">
        <w:rPr>
          <w:rFonts w:ascii="Times New Roman" w:cs="Times New Roman" w:eastAsia="Times New Roman" w:hAnsi="Times New Roman"/>
          <w:color w:val="000000"/>
          <w:rtl w:val="0"/>
        </w:rPr>
        <w:t xml:space="preserve">Data Pre-Fill</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began by extracting relevant information from publicly available sources associated with each corpus, including the corpus page on CHILDES, articles, book chapters, dissertations, and transcripts. These sources were indexed on the CHILDES page for each corpus. The extracted data was used to “pre-fill” a table, capturing details about the linguistic environment, socio-economic factors, participant demographics, and other key variables. Missing variables were marked as “NA”.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instructions for coders can be found through this link: https://osf.io/y2ae6?view_only=a013f1b25b8c4556b8248f12870402c9</w:t>
      </w:r>
    </w:p>
    <w:p w:rsidR="00000000" w:rsidDel="00000000" w:rsidP="00000000" w:rsidRDefault="00000000" w:rsidRPr="00000000" w14:paraId="00000009">
      <w:pPr>
        <w:pStyle w:val="Heading4"/>
        <w:rPr>
          <w:rFonts w:ascii="Times New Roman" w:cs="Times New Roman" w:eastAsia="Times New Roman" w:hAnsi="Times New Roman"/>
          <w:color w:val="000000"/>
        </w:rPr>
      </w:pPr>
      <w:bookmarkStart w:colFirst="0" w:colLast="0" w:name="_heading=h.i7i295ccv592" w:id="5"/>
      <w:bookmarkEnd w:id="5"/>
      <w:r w:rsidDel="00000000" w:rsidR="00000000" w:rsidRPr="00000000">
        <w:rPr>
          <w:rFonts w:ascii="Times New Roman" w:cs="Times New Roman" w:eastAsia="Times New Roman" w:hAnsi="Times New Roman"/>
          <w:color w:val="000000"/>
          <w:rtl w:val="0"/>
        </w:rPr>
        <w:t xml:space="preserve">Data curators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directly contacted the authors of the corpora to address NAs. Authors were provided with the pre-filled table summarizing the existing information for their datasets, alongside clear explanations for each variable. They were requested to verify the information of the rows corresponding to their corpus and provide additional details when possible. Authors were given the option to either modify the table directly, add the missing information, or respond via email with the necessary details for incorporation into the dataset. We emphasized that authors should not feel obligated to complete every field if certain details were unavailable or not applicable. The response from corpus curators was overwhelmingly positive. Over one-third of the contacted curators replied, and 98% of those who responded provided additional data or confirmed the absence of certain variables. This high level of engagement significantly enriched the dataset, particularly for variables that were previously undocumented. The information gathered from the authors was integrated into the table, which then went into cleaning, classifications, and analyses. </w:t>
      </w:r>
    </w:p>
    <w:p w:rsidR="00000000" w:rsidDel="00000000" w:rsidP="00000000" w:rsidRDefault="00000000" w:rsidRPr="00000000" w14:paraId="0000000B">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Variables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Country</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 in which data collection took place.</w:t>
      </w:r>
    </w:p>
    <w:p w:rsidR="00000000" w:rsidDel="00000000" w:rsidP="00000000" w:rsidRDefault="00000000" w:rsidRPr="00000000" w14:paraId="0000000E">
      <w:pPr>
        <w:pStyle w:val="Heading4"/>
        <w:rPr>
          <w:rFonts w:ascii="Times New Roman" w:cs="Times New Roman" w:eastAsia="Times New Roman" w:hAnsi="Times New Roman"/>
          <w:color w:val="000000"/>
        </w:rPr>
      </w:pPr>
      <w:bookmarkStart w:colFirst="0" w:colLast="0" w:name="_heading=h.dgutpjuukejh" w:id="6"/>
      <w:bookmarkEnd w:id="6"/>
      <w:r w:rsidDel="00000000" w:rsidR="00000000" w:rsidRPr="00000000">
        <w:rPr>
          <w:rFonts w:ascii="Times New Roman" w:cs="Times New Roman" w:eastAsia="Times New Roman" w:hAnsi="Times New Roman"/>
          <w:color w:val="000000"/>
          <w:rtl w:val="0"/>
        </w:rPr>
        <w:t xml:space="preserve">SES</w:t>
      </w:r>
    </w:p>
    <w:p w:rsidR="00000000" w:rsidDel="00000000" w:rsidP="00000000" w:rsidRDefault="00000000" w:rsidRPr="00000000" w14:paraId="0000000F">
      <w:pPr>
        <w:pStyle w:val="Heading5"/>
        <w:rPr>
          <w:rFonts w:ascii="Times New Roman" w:cs="Times New Roman" w:eastAsia="Times New Roman" w:hAnsi="Times New Roman"/>
          <w:color w:val="000000"/>
        </w:rPr>
      </w:pPr>
      <w:bookmarkStart w:colFirst="0" w:colLast="0" w:name="_heading=h.1xzkz1duze14" w:id="7"/>
      <w:bookmarkEnd w:id="7"/>
      <w:r w:rsidDel="00000000" w:rsidR="00000000" w:rsidRPr="00000000">
        <w:rPr>
          <w:rFonts w:ascii="Times New Roman" w:cs="Times New Roman" w:eastAsia="Times New Roman" w:hAnsi="Times New Roman"/>
          <w:color w:val="000000"/>
          <w:rtl w:val="0"/>
        </w:rPr>
        <w:t xml:space="preserve">Parent’s socio-economic status (SES)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socio-economic status (SES) dimension was categorized into three broad categories based on descriptions provided in corpus references: Low SES - Including references to terms such as “low,” “working class,” or “welfare”; Middle SES- Descriptions indicating a “middle-class” background. High SES - References to “upper-class” or “high.” To ensure consistency across analyses, a standardized SES variable (SES.STDZD) was created. Descriptions explicitly indicating low SES were assigned a value of 1, while references to middle-class or upper/high SES were assigned a value of 2. If both low and middle/high SES were mentioned within the same corpus, the variable was labeled as “1-2”.</w:t>
      </w:r>
    </w:p>
    <w:p w:rsidR="00000000" w:rsidDel="00000000" w:rsidP="00000000" w:rsidRDefault="00000000" w:rsidRPr="00000000" w14:paraId="00000011">
      <w:pPr>
        <w:pStyle w:val="Heading5"/>
        <w:rPr>
          <w:rFonts w:ascii="Times New Roman" w:cs="Times New Roman" w:eastAsia="Times New Roman" w:hAnsi="Times New Roman"/>
          <w:color w:val="000000"/>
        </w:rPr>
      </w:pPr>
      <w:bookmarkStart w:colFirst="0" w:colLast="0" w:name="_heading=h.xii400dse1zh" w:id="8"/>
      <w:bookmarkEnd w:id="8"/>
      <w:r w:rsidDel="00000000" w:rsidR="00000000" w:rsidRPr="00000000">
        <w:rPr>
          <w:rFonts w:ascii="Times New Roman" w:cs="Times New Roman" w:eastAsia="Times New Roman" w:hAnsi="Times New Roman"/>
          <w:color w:val="000000"/>
          <w:rtl w:val="0"/>
        </w:rPr>
        <w:t xml:space="preserve">Parent’s education level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educational level of parents as a dimension to understand socio-economic diversity within the corpora. This was determined by identifying the highest level of education completed by parents, as reported in the corpus descriptions or accompanying references. Relevant information was typically found in the ‘data’ or ‘method’ sections of corpus documentation, using keywords such as “education,” “degree,” or “university.” To ensure consistency and facilitate comparative analyses, a standardized education variable (Education.STDZD) was created. We established the minimum, maximum, and midpoint education levels for each corpus based on reported data. Parental education levels were recoded into four broad categories based on their minimum level: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Some Primary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Some Secondary school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Some college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College or above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homogeneous corpora (e.g., the same level reported for all participating families), categorization was straightforward. For corpora with heterogeneous reports we recorded the range of reported levels (e.g., 2–4, indicating “some secondary school” to “college or above” for example) and used the minimum value to represent the corpus (e.g., 2, corresponding to “some secondary school” in this example). This approach ensured that the categorization reflected the lowest educational attainment per family per corpora.</w:t>
      </w:r>
    </w:p>
    <w:p w:rsidR="00000000" w:rsidDel="00000000" w:rsidP="00000000" w:rsidRDefault="00000000" w:rsidRPr="00000000" w14:paraId="00000018">
      <w:pPr>
        <w:pStyle w:val="Heading5"/>
        <w:rPr>
          <w:rFonts w:ascii="Times New Roman" w:cs="Times New Roman" w:eastAsia="Times New Roman" w:hAnsi="Times New Roman"/>
          <w:color w:val="000000"/>
        </w:rPr>
      </w:pPr>
      <w:bookmarkStart w:colFirst="0" w:colLast="0" w:name="_heading=h.r8of0q9273q3" w:id="9"/>
      <w:bookmarkEnd w:id="9"/>
      <w:r w:rsidDel="00000000" w:rsidR="00000000" w:rsidRPr="00000000">
        <w:rPr>
          <w:rFonts w:ascii="Times New Roman" w:cs="Times New Roman" w:eastAsia="Times New Roman" w:hAnsi="Times New Roman"/>
          <w:color w:val="000000"/>
          <w:rtl w:val="0"/>
        </w:rPr>
        <w:t xml:space="preserve">Parents’ occupation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parental profession as a dimension to understand socio-economic diversity within the corpora. Information about the parents’ activities or professions was retrieved from corpus descriptions and references, typically located in the ‘data’ or ‘method’ sections, using keywords such as “profession,” “work,” or “occupation.”</w:t>
        <w:br w:type="textWrapping"/>
        <w:t xml:space="preserve">To ensure consistency, parental professions were standardized and categorized into broad occupational fields. Patterns within the descriptions of professions were used to assign categorical labels: </w:t>
      </w:r>
    </w:p>
    <w:p w:rsidR="00000000" w:rsidDel="00000000" w:rsidP="00000000" w:rsidRDefault="00000000" w:rsidRPr="00000000" w14:paraId="0000001A">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Academic professions: Identified through keywords such as “professor,” “researcher,” “scientist,” “academic,” and related terms. These entries were labeled as “yes” in the is.academic variable.</w:t>
      </w:r>
    </w:p>
    <w:p w:rsidR="00000000" w:rsidDel="00000000" w:rsidP="00000000" w:rsidRDefault="00000000" w:rsidRPr="00000000" w14:paraId="0000001B">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Health professions: Identified through keywords such as “doctor,” “nurse,” “psychologist,” “therapist,” and similar terms. These were labeled as “yes” in the is.health variable.</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Teaching professions: Identified through keywords such as “teach” or similar variations. These were labeled as “yes” in the is.teacher variable.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profession fell into both the academic and teaching categories, it was additionally flagged in the is.education variable.</w:t>
      </w:r>
    </w:p>
    <w:p w:rsidR="00000000" w:rsidDel="00000000" w:rsidP="00000000" w:rsidRDefault="00000000" w:rsidRPr="00000000" w14:paraId="0000001E">
      <w:pPr>
        <w:pStyle w:val="Heading4"/>
        <w:rPr>
          <w:rFonts w:ascii="Times New Roman" w:cs="Times New Roman" w:eastAsia="Times New Roman" w:hAnsi="Times New Roman"/>
          <w:color w:val="000000"/>
        </w:rPr>
      </w:pPr>
      <w:bookmarkStart w:colFirst="0" w:colLast="0" w:name="_heading=h.51jvnhe44nzy" w:id="10"/>
      <w:bookmarkEnd w:id="10"/>
      <w:r w:rsidDel="00000000" w:rsidR="00000000" w:rsidRPr="00000000">
        <w:rPr>
          <w:rFonts w:ascii="Times New Roman" w:cs="Times New Roman" w:eastAsia="Times New Roman" w:hAnsi="Times New Roman"/>
          <w:color w:val="000000"/>
          <w:rtl w:val="0"/>
        </w:rPr>
        <w:t xml:space="preserve">Urbanization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community in which families lived was categorized into three main types: </w:t>
      </w:r>
    </w:p>
    <w:p w:rsidR="00000000" w:rsidDel="00000000" w:rsidP="00000000" w:rsidRDefault="00000000" w:rsidRPr="00000000" w14:paraId="00000020">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Urban: Families residing in cities or metropolitan areas. </w:t>
      </w:r>
    </w:p>
    <w:p w:rsidR="00000000" w:rsidDel="00000000" w:rsidP="00000000" w:rsidRDefault="00000000" w:rsidRPr="00000000" w14:paraId="00000021">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Rural: Families living in countryside or non-urban areas. </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Mixed (both): Corpora collected in both urban and rural environments</w:t>
      </w:r>
    </w:p>
    <w:p w:rsidR="00000000" w:rsidDel="00000000" w:rsidP="00000000" w:rsidRDefault="00000000" w:rsidRPr="00000000" w14:paraId="00000023">
      <w:pPr>
        <w:pStyle w:val="Heading4"/>
        <w:rPr>
          <w:rFonts w:ascii="Times New Roman" w:cs="Times New Roman" w:eastAsia="Times New Roman" w:hAnsi="Times New Roman"/>
          <w:color w:val="000000"/>
        </w:rPr>
      </w:pPr>
      <w:bookmarkStart w:colFirst="0" w:colLast="0" w:name="_heading=h.aug76bpcpcyq" w:id="11"/>
      <w:bookmarkEnd w:id="11"/>
      <w:r w:rsidDel="00000000" w:rsidR="00000000" w:rsidRPr="00000000">
        <w:rPr>
          <w:rFonts w:ascii="Times New Roman" w:cs="Times New Roman" w:eastAsia="Times New Roman" w:hAnsi="Times New Roman"/>
          <w:color w:val="000000"/>
          <w:rtl w:val="0"/>
        </w:rPr>
        <w:t xml:space="preserve">Family structure</w:t>
      </w:r>
    </w:p>
    <w:p w:rsidR="00000000" w:rsidDel="00000000" w:rsidP="00000000" w:rsidRDefault="00000000" w:rsidRPr="00000000" w14:paraId="00000024">
      <w:pPr>
        <w:pStyle w:val="Heading5"/>
        <w:rPr>
          <w:rFonts w:ascii="Times New Roman" w:cs="Times New Roman" w:eastAsia="Times New Roman" w:hAnsi="Times New Roman"/>
          <w:color w:val="000000"/>
        </w:rPr>
      </w:pPr>
      <w:bookmarkStart w:colFirst="0" w:colLast="0" w:name="_heading=h.8rnt0b6oczeh" w:id="12"/>
      <w:bookmarkEnd w:id="12"/>
      <w:r w:rsidDel="00000000" w:rsidR="00000000" w:rsidRPr="00000000">
        <w:rPr>
          <w:rFonts w:ascii="Times New Roman" w:cs="Times New Roman" w:eastAsia="Times New Roman" w:hAnsi="Times New Roman"/>
          <w:color w:val="000000"/>
          <w:rtl w:val="0"/>
        </w:rPr>
        <w:t xml:space="preserve">Household composition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household composition dimension to better understand family structures represented in the corpora. Information about household composition was retrieved from corpus descriptions and accompanying references and/or completed by data curators. We categorized families based on whether they were composed primarily of caregivers and children (nuclear) or included additional extended family members, such as grandparents, cousins, uncles, and aunts (extended). We later standardized into three categories: Nuclear - Families composed primarily of caregivers and children, including single-parent households. Extended - Families that included additional family members, such as grandparents, uncles, aunts, or cousins. Varied - Families with a mix of nuclear and extended characteristics.</w:t>
      </w:r>
    </w:p>
    <w:p w:rsidR="00000000" w:rsidDel="00000000" w:rsidP="00000000" w:rsidRDefault="00000000" w:rsidRPr="00000000" w14:paraId="00000026">
      <w:pPr>
        <w:pStyle w:val="Heading5"/>
        <w:rPr>
          <w:rFonts w:ascii="Times New Roman" w:cs="Times New Roman" w:eastAsia="Times New Roman" w:hAnsi="Times New Roman"/>
          <w:color w:val="000000"/>
        </w:rPr>
      </w:pPr>
      <w:bookmarkStart w:colFirst="0" w:colLast="0" w:name="_heading=h.ke6s3kyrd23c" w:id="13"/>
      <w:bookmarkEnd w:id="13"/>
      <w:r w:rsidDel="00000000" w:rsidR="00000000" w:rsidRPr="00000000">
        <w:rPr>
          <w:rFonts w:ascii="Times New Roman" w:cs="Times New Roman" w:eastAsia="Times New Roman" w:hAnsi="Times New Roman"/>
          <w:color w:val="000000"/>
          <w:rtl w:val="0"/>
        </w:rPr>
        <w:t xml:space="preserve">Singletons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family structure within the corpora, we asked for the percentage or number of children with siblings and calculated the average number of siblings per child per corpora, including those with zero siblings (singletons).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Sibling-related data were retrieved from the corpus main pages, associated references and verified by curators. Keywords such as “sibling,” “brother,” “sister,” “older sibling,” “older brother,” and “older sister” were used to identify relevant information. The following measures were extracted and standardized: </w:t>
      </w:r>
    </w:p>
    <w:p w:rsidR="00000000" w:rsidDel="00000000" w:rsidP="00000000" w:rsidRDefault="00000000" w:rsidRPr="00000000" w14:paraId="00000029">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Number of Children with Siblings: The total count of children who had at least one sibling was recorded for each corpus.</w:t>
      </w:r>
    </w:p>
    <w:p w:rsidR="00000000" w:rsidDel="00000000" w:rsidP="00000000" w:rsidRDefault="00000000" w:rsidRPr="00000000" w14:paraId="0000002A">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Number of Children with Older Siblings: The count of children with older siblings recorded for each corpus.</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Average Number of Siblings:For each corpus, the average number of siblings per child was calculated, including children with zero siblings.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created a binary variable siblings based on the variable number of children with siblings (Nb.of.children.with.siblings). Children with a non-zero count in Nb.of.children.with.siblings were categorized as having siblings (“yes”). Children with a value of 0 in Nb.of.children.with.siblings were categorized as not having siblings (“no”).</w:t>
      </w:r>
    </w:p>
    <w:p w:rsidR="00000000" w:rsidDel="00000000" w:rsidP="00000000" w:rsidRDefault="00000000" w:rsidRPr="00000000" w14:paraId="0000002D">
      <w:pPr>
        <w:pStyle w:val="Heading4"/>
        <w:rPr>
          <w:rFonts w:ascii="Times New Roman" w:cs="Times New Roman" w:eastAsia="Times New Roman" w:hAnsi="Times New Roman"/>
          <w:color w:val="000000"/>
        </w:rPr>
      </w:pPr>
      <w:bookmarkStart w:colFirst="0" w:colLast="0" w:name="_heading=h.gm5e1cbd82q7" w:id="14"/>
      <w:bookmarkEnd w:id="14"/>
      <w:r w:rsidDel="00000000" w:rsidR="00000000" w:rsidRPr="00000000">
        <w:rPr>
          <w:rFonts w:ascii="Times New Roman" w:cs="Times New Roman" w:eastAsia="Times New Roman" w:hAnsi="Times New Roman"/>
          <w:color w:val="000000"/>
          <w:rtl w:val="0"/>
        </w:rPr>
        <w:t xml:space="preserve">Language</w:t>
      </w:r>
    </w:p>
    <w:p w:rsidR="00000000" w:rsidDel="00000000" w:rsidP="00000000" w:rsidRDefault="00000000" w:rsidRPr="00000000" w14:paraId="0000002E">
      <w:pPr>
        <w:pStyle w:val="Heading5"/>
        <w:rPr>
          <w:rFonts w:ascii="Times New Roman" w:cs="Times New Roman" w:eastAsia="Times New Roman" w:hAnsi="Times New Roman"/>
          <w:color w:val="000000"/>
        </w:rPr>
      </w:pPr>
      <w:bookmarkStart w:colFirst="0" w:colLast="0" w:name="_heading=h.1t69o7olycfi" w:id="15"/>
      <w:bookmarkEnd w:id="15"/>
      <w:r w:rsidDel="00000000" w:rsidR="00000000" w:rsidRPr="00000000">
        <w:rPr>
          <w:rFonts w:ascii="Times New Roman" w:cs="Times New Roman" w:eastAsia="Times New Roman" w:hAnsi="Times New Roman"/>
          <w:color w:val="000000"/>
          <w:rtl w:val="0"/>
        </w:rPr>
        <w:t xml:space="preserve">Language(s) spoken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about the languages was retrieved from the general description pages of the chosen corpora collections. For example, in the Scandinavian collection, corpora were categorized based on languages such as Danish, Icelandic, Norwegian, and Swedish. Once the language(s) for a given corpus were identified, they were further classified as either Indo-European or non-Indo-European.</w:t>
      </w:r>
    </w:p>
    <w:p w:rsidR="00000000" w:rsidDel="00000000" w:rsidP="00000000" w:rsidRDefault="00000000" w:rsidRPr="00000000" w14:paraId="00000030">
      <w:pPr>
        <w:pStyle w:val="Heading5"/>
        <w:rPr>
          <w:rFonts w:ascii="Times New Roman" w:cs="Times New Roman" w:eastAsia="Times New Roman" w:hAnsi="Times New Roman"/>
          <w:color w:val="000000"/>
        </w:rPr>
      </w:pPr>
      <w:bookmarkStart w:colFirst="0" w:colLast="0" w:name="_heading=h.sshhdbkjoei6" w:id="16"/>
      <w:bookmarkEnd w:id="16"/>
      <w:r w:rsidDel="00000000" w:rsidR="00000000" w:rsidRPr="00000000">
        <w:rPr>
          <w:rFonts w:ascii="Times New Roman" w:cs="Times New Roman" w:eastAsia="Times New Roman" w:hAnsi="Times New Roman"/>
          <w:color w:val="000000"/>
          <w:rtl w:val="0"/>
        </w:rPr>
        <w:t xml:space="preserve">Lingual status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each corpus Lingual status was assessed and coded as a binary variable (yes/no). Specifically, it was determined whether more than one language was spoken in the corpus, irrespective of the number of languages spoken within the family or the broader community. If explicit mentions of bilingualism or multilingualism were found in the corpus descriptions or accompanying references, the variable was coded as yes. Conversely, if the corpus description indicated a monolingual environment or lacked any mention of additional languages, it was coded as no.</w:t>
      </w:r>
    </w:p>
    <w:p w:rsidR="00000000" w:rsidDel="00000000" w:rsidP="00000000" w:rsidRDefault="00000000" w:rsidRPr="00000000" w14:paraId="00000032">
      <w:pPr>
        <w:pStyle w:val="Heading3"/>
        <w:rPr>
          <w:rFonts w:ascii="Times New Roman" w:cs="Times New Roman" w:eastAsia="Times New Roman" w:hAnsi="Times New Roman"/>
          <w:color w:val="000000"/>
        </w:rPr>
      </w:pPr>
      <w:bookmarkStart w:colFirst="0" w:colLast="0" w:name="_heading=h.expmjwoujqa0" w:id="17"/>
      <w:bookmarkEnd w:id="17"/>
      <w:r w:rsidDel="00000000" w:rsidR="00000000" w:rsidRPr="00000000">
        <w:rPr>
          <w:rFonts w:ascii="Times New Roman" w:cs="Times New Roman" w:eastAsia="Times New Roman" w:hAnsi="Times New Roman"/>
          <w:color w:val="000000"/>
          <w:rtl w:val="0"/>
        </w:rPr>
        <w:t xml:space="preserve">Data Visualisation</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were visualized using stacked bar plots to display country-wise distributions in reverse alphabetical order. The visualization was created using the ggplot2 package in R. A subset of data excluding missing information (!is.na([variable_of_interest])) was used.</w:t>
      </w:r>
    </w:p>
    <w:p w:rsidR="00000000" w:rsidDel="00000000" w:rsidP="00000000" w:rsidRDefault="00000000" w:rsidRPr="00000000" w14:paraId="00000034">
      <w:pPr>
        <w:pStyle w:val="Heading2"/>
        <w:rPr>
          <w:rFonts w:ascii="Times New Roman" w:cs="Times New Roman" w:eastAsia="Times New Roman" w:hAnsi="Times New Roman"/>
          <w:color w:val="000000"/>
          <w:sz w:val="24"/>
          <w:szCs w:val="24"/>
        </w:rPr>
      </w:pPr>
      <w:bookmarkStart w:colFirst="0" w:colLast="0" w:name="_heading=h.4zlpyffatgu3" w:id="18"/>
      <w:bookmarkEnd w:id="18"/>
      <w:r w:rsidDel="00000000" w:rsidR="00000000" w:rsidRPr="00000000">
        <w:rPr>
          <w:rFonts w:ascii="Times New Roman" w:cs="Times New Roman" w:eastAsia="Times New Roman" w:hAnsi="Times New Roman"/>
          <w:color w:val="000000"/>
          <w:sz w:val="24"/>
          <w:szCs w:val="24"/>
          <w:rtl w:val="0"/>
        </w:rPr>
        <w:t xml:space="preserve">SM2: Higher SES families are overrepresented in our sample of CHILDES given source countries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in the main text, the vast majority of families were of middle or higher SES. Since 84% of corpora were collected in OECD countries, we use OECD data for comparison. While less than 66% of families in OECD countries are middle-to-high SES, over 80% of our sample falls into this category. Moreover, OECD countries generally have higher SES populations compared to the global average, suggesting that our CHILDES sample likely overrepresents middle-to-high SES families even more on a global scale.</w:t>
      </w:r>
    </w:p>
    <w:p w:rsidR="00000000" w:rsidDel="00000000" w:rsidP="00000000" w:rsidRDefault="00000000" w:rsidRPr="00000000" w14:paraId="00000036">
      <w:pPr>
        <w:pStyle w:val="Heading2"/>
        <w:rPr>
          <w:rFonts w:ascii="Times New Roman" w:cs="Times New Roman" w:eastAsia="Times New Roman" w:hAnsi="Times New Roman"/>
          <w:color w:val="000000"/>
          <w:sz w:val="24"/>
          <w:szCs w:val="24"/>
        </w:rPr>
      </w:pPr>
      <w:bookmarkStart w:colFirst="0" w:colLast="0" w:name="_heading=h.ckv7t7er29js" w:id="19"/>
      <w:bookmarkEnd w:id="19"/>
      <w:r w:rsidDel="00000000" w:rsidR="00000000" w:rsidRPr="00000000">
        <w:rPr>
          <w:rFonts w:ascii="Times New Roman" w:cs="Times New Roman" w:eastAsia="Times New Roman" w:hAnsi="Times New Roman"/>
          <w:color w:val="000000"/>
          <w:sz w:val="24"/>
          <w:szCs w:val="24"/>
          <w:rtl w:val="0"/>
        </w:rPr>
        <w:t xml:space="preserve">SM3: Caregivers with high levels of education are overrepresented in our sample of CHILDES given source countries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 whether the levels of education were reasonable, we calculated the proportion of corpora in each country for which all caregivers had completed college, setting aside the corpus collected in two countries, for a total of 27 countries. This percentage varied between 0 (Greece, Lesotho, Serbia, or Portugal) and 100% (for 16 countries). In contrast, for the same 27 countries, the proportion of the population aged 25-65 years with completed tertiary education did not go above 30% (data from 2010). Zooming into one particular case, 100% of families in the corpora collected in the United States had a college education or higher, which is true of only 36% of US adults (U.S. Census Bureau, 2020). In fact, 50% of the samples contained parents who were described as master’s or Ph.D. students, professors, linguists, researchers, scientists, and academics (if we additionally count psychologists and speech therapists, this represents 62% of the corpora). To give an idea of the extent to which this is not representative, consider the fact that in 2020, 6% of the American population would be included in that list of professions. Similar data is hard to find for all countries represented in CHILDES, but we suspect that the proportion of scientists, professors, Masters, and PhD students found in most other countries will be the same or lower.</w:t>
      </w:r>
    </w:p>
    <w:p w:rsidR="00000000" w:rsidDel="00000000" w:rsidP="00000000" w:rsidRDefault="00000000" w:rsidRPr="00000000" w14:paraId="00000038">
      <w:pPr>
        <w:pStyle w:val="Heading2"/>
        <w:rPr>
          <w:rFonts w:ascii="Times New Roman" w:cs="Times New Roman" w:eastAsia="Times New Roman" w:hAnsi="Times New Roman"/>
          <w:color w:val="000000"/>
          <w:sz w:val="24"/>
          <w:szCs w:val="24"/>
        </w:rPr>
      </w:pPr>
      <w:bookmarkStart w:colFirst="0" w:colLast="0" w:name="_heading=h.mad2a49rmy2z" w:id="20"/>
      <w:bookmarkEnd w:id="20"/>
      <w:r w:rsidDel="00000000" w:rsidR="00000000" w:rsidRPr="00000000">
        <w:rPr>
          <w:rFonts w:ascii="Times New Roman" w:cs="Times New Roman" w:eastAsia="Times New Roman" w:hAnsi="Times New Roman"/>
          <w:color w:val="000000"/>
          <w:sz w:val="24"/>
          <w:szCs w:val="24"/>
          <w:rtl w:val="0"/>
        </w:rPr>
        <w:t xml:space="preserve">SM4: Urban families are overrepresented in our sample of CHILDES given source countries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 whether the levels of urban sampling were reasonable, we calculated the proportion of corpora in each country for which all families were urban, setting aside the corpus collected in two countries, for a total of 26 countries. This percentage varied between (Jamaica, Lesotho, Papua New Guinea) and 100% (for 20 countries). For the same 26 countries, the proportion of the population that was urban varied more continuously, ranging from 14 (Papua New Guinea) to 100% (Kuwait). Among the 20 countries for which 100% of families were urban, this percentage varied between 43 and 100%. For the remaining 6 countries, it went from 14 to 83%.</w:t>
      </w:r>
    </w:p>
    <w:p w:rsidR="00000000" w:rsidDel="00000000" w:rsidP="00000000" w:rsidRDefault="00000000" w:rsidRPr="00000000" w14:paraId="0000003A">
      <w:pPr>
        <w:pStyle w:val="Heading2"/>
        <w:rPr>
          <w:rFonts w:ascii="Times New Roman" w:cs="Times New Roman" w:eastAsia="Times New Roman" w:hAnsi="Times New Roman"/>
          <w:color w:val="000000"/>
          <w:sz w:val="24"/>
          <w:szCs w:val="24"/>
        </w:rPr>
      </w:pPr>
      <w:bookmarkStart w:colFirst="0" w:colLast="0" w:name="_heading=h.bmzy09d30t6r" w:id="21"/>
      <w:bookmarkEnd w:id="21"/>
      <w:r w:rsidDel="00000000" w:rsidR="00000000" w:rsidRPr="00000000">
        <w:rPr>
          <w:rFonts w:ascii="Times New Roman" w:cs="Times New Roman" w:eastAsia="Times New Roman" w:hAnsi="Times New Roman"/>
          <w:color w:val="000000"/>
          <w:sz w:val="24"/>
          <w:szCs w:val="24"/>
          <w:rtl w:val="0"/>
        </w:rPr>
        <w:t xml:space="preserve">SM5: Singletons may be underrepresented in our sample of CHILDES given source countries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84% of the countries in CHILDES are in the OECD, we draw a comparison point for such countries: among households with children in the OECD, roughly 46% of children were singletons (OECD, 2015). In the sub-sample of OECD CHILDES corpora with information about siblings, we see that 29% (n = 23) of corpora focus exclusively on singletons. In this sense, singletons are underrepresented in CHILDES. However, we are not certain of this interpretation, because of the way data were coded: It is not the case that the remaining 71% of corpora contain only children with siblings, but rather that at least some of the children in the other corpora had siblings. Therefore, to be truly certain, one would have to do an analysis based on individual included children, which we were not able to do at present because such information was not always systematically reported for all children in each corpus.</w:t>
      </w:r>
    </w:p>
    <w:p w:rsidR="00000000" w:rsidDel="00000000" w:rsidP="00000000" w:rsidRDefault="00000000" w:rsidRPr="00000000" w14:paraId="0000003C">
      <w:pPr>
        <w:pStyle w:val="Heading2"/>
        <w:rPr>
          <w:rFonts w:ascii="Times New Roman" w:cs="Times New Roman" w:eastAsia="Times New Roman" w:hAnsi="Times New Roman"/>
          <w:color w:val="000000"/>
          <w:sz w:val="24"/>
          <w:szCs w:val="24"/>
        </w:rPr>
      </w:pPr>
      <w:bookmarkStart w:colFirst="0" w:colLast="0" w:name="_heading=h.hhabzgrjoe3w" w:id="22"/>
      <w:bookmarkEnd w:id="22"/>
      <w:r w:rsidDel="00000000" w:rsidR="00000000" w:rsidRPr="00000000">
        <w:rPr>
          <w:rFonts w:ascii="Times New Roman" w:cs="Times New Roman" w:eastAsia="Times New Roman" w:hAnsi="Times New Roman"/>
          <w:color w:val="000000"/>
          <w:sz w:val="24"/>
          <w:szCs w:val="24"/>
          <w:rtl w:val="0"/>
        </w:rPr>
        <w:t xml:space="preserve">SM6: Languages represented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Monolingual corpora contained data in: Afrikaans, Arabic (Egyptian or Kuwaiti), Basque, Cantonese, Catalan, Cree, Croatian, Czech, Danish, Dutch, English, Estonian, Farsi, French, German, Greek, Hebrew, Hungarian, Icelandic, Indonesian, Irish, Italian, Jamaican, Japanese, Korean, Mandarin, Norwegian, Nungon, Polish, Portuguese (Brazilian or European), Romanian, Russian, Serbian, Sesotho, Slovenian, Spanish, Swedish, Taiwanese, Tamil, Thai, Turkish, and Welsh.</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non-monolingual corpora contained data in: Dutch/English, Dutch/French, Dutch/Italian, English/Cantonese, English/Dutch, English/French, English/Hebrew, English/Japanese, English/Japanese/Danish, English/Mandarin, English/Mandarin/Cantonese, English/Russian, English/Spanish, French/Russian, German/Spanish, Hungarian/Catalan/Spanish, Hungarian/Farsi/English, Italian/German, Italian/Japanese, Portuguese/Swedish/English, Spanish/Catalan, and Spanish/Galician.</w:t>
      </w:r>
    </w:p>
    <w:p w:rsidR="00000000" w:rsidDel="00000000" w:rsidP="00000000" w:rsidRDefault="00000000" w:rsidRPr="00000000" w14:paraId="0000003F">
      <w:pPr>
        <w:pStyle w:val="Heading2"/>
        <w:rPr>
          <w:rFonts w:ascii="Times New Roman" w:cs="Times New Roman" w:eastAsia="Times New Roman" w:hAnsi="Times New Roman"/>
          <w:color w:val="000000"/>
          <w:sz w:val="24"/>
          <w:szCs w:val="24"/>
        </w:rPr>
      </w:pPr>
      <w:bookmarkStart w:colFirst="0" w:colLast="0" w:name="_heading=h.kfi5x0qefeqp" w:id="23"/>
      <w:bookmarkEnd w:id="23"/>
      <w:r w:rsidDel="00000000" w:rsidR="00000000" w:rsidRPr="00000000">
        <w:rPr>
          <w:rFonts w:ascii="Times New Roman" w:cs="Times New Roman" w:eastAsia="Times New Roman" w:hAnsi="Times New Roman"/>
          <w:color w:val="000000"/>
          <w:sz w:val="24"/>
          <w:szCs w:val="24"/>
          <w:rtl w:val="0"/>
        </w:rPr>
        <w:t xml:space="preserve">SM7: Monolinguals are over-represented given source countries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hard to find reliable estimates of the percentage of the population that grows up in bilingual or multilingual homes in individual countries. This is partly because estimates rely on adult data which include second language learners, not exposed to an additional language in their home environment. For instance, in Europe in 2016, 65% of adults reported knowing multiple languages (Eurostat, 2022), but most of them probably did not grow up in bilingual homes. Still, some estimates claim that around half or two-thirds of children are raised bilingual or multilingual (Grosjean, 2024).</w:t>
      </w:r>
    </w:p>
    <w:p w:rsidR="00000000" w:rsidDel="00000000" w:rsidP="00000000" w:rsidRDefault="00000000" w:rsidRPr="00000000" w14:paraId="00000041">
      <w:pPr>
        <w:pStyle w:val="Heading2"/>
        <w:rPr>
          <w:rFonts w:ascii="Times New Roman" w:cs="Times New Roman" w:eastAsia="Times New Roman" w:hAnsi="Times New Roman"/>
          <w:color w:val="000000"/>
          <w:sz w:val="24"/>
          <w:szCs w:val="24"/>
        </w:rPr>
      </w:pPr>
      <w:bookmarkStart w:colFirst="0" w:colLast="0" w:name="_heading=h.m4esbyybuan1" w:id="24"/>
      <w:bookmarkEnd w:id="24"/>
      <w:r w:rsidDel="00000000" w:rsidR="00000000" w:rsidRPr="00000000">
        <w:rPr>
          <w:rFonts w:ascii="Times New Roman" w:cs="Times New Roman" w:eastAsia="Times New Roman" w:hAnsi="Times New Roman"/>
          <w:color w:val="000000"/>
          <w:sz w:val="24"/>
          <w:szCs w:val="24"/>
          <w:rtl w:val="0"/>
        </w:rPr>
        <w:t xml:space="preserve">SM8: Acknowledgments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thank the corpora curators: Airi Kapanen, Alan Cruttenden, Alison Henry, Aliyah Morgenstern, Amy Strekas, Amye Warren-Leubecker, Ana Isabel Ojea Lopez, Ana Lúcia Santos, Ana Maria Guimarães, Andrea Biró, Andrea Feldman, Angela Grimm, Ann Peters, Anna Chromá, Anna Theakston, Anne Van Kleeck, Anne-Marie Schaerlaekens, Annick De Houwer, Antje van Oosten, Aparna Nadig, Astrid Klammler, Aurora Bel Gaya, Aviya Hacohen, Ayhan Aksu Koç, Barbara Davis, Barbara Pearson, Bernadette Plunkett, Bernd Möbius, Bob Jones, Bob Wilson, Brian MacWhinney, Britta Lintfert, Carina Koroschetz, Carmen Silva-Corvalán, Caroline Rowland, Catherine Snow, Cécile De Cat, Charles Watkins, Chiara Roggero, Chien-ju Chang, Christian Champaud, Christiane von Stutterheim, Christina Gildersleeve-Neumann, Christine Howe, Claartje Levelt, Claudine Hammelrath, Colleen Huebner Morisset, Conxita Lleo, Conxita Lleó, Cornelia Hamann, Darinka Anđelković, David Dickinson, David Gil, Dmitar Popov, Donella Antelmi, Donna Jackson-Maldonado, Donna Thal, Dorit Ravid, Eithne Guilfoyle, Ekaterina Protassova, Elena Lieven, Elisabet Serrat Sellabona, Eliseo Diez-Itza, Elizabeth Bates, Elizabeth Nixon, Eon-Suk Ko, Eva Bar-Shalom, Eve Clark, Evelien Krikhaar, Feyza Altinkamis, Filip Smolik, Folkert Kuiken, Francisco De Lacerda, Frank Wijnen, Fred Genesee, Frenette Southwood, Gaja Jarosz, Gerard Bol, Gerardo Aguado Alonso, Ghada Khattab, Gina Conti-Ramsden, Gisela Szagun, Giuseppe Cappelli, Gordana Hržica, Gordon Wells, Habibeh Samadi, Hanna Batoréo, Hannah Sarvasy, Harriet Jisa, Heather Goad, Heba Salama, Heidi Feldman, Heike Behrens, Helen Körgesaar, Hervé Hunkeler, Hintat Cheung, Hiro Yuki Nisisawa, Hrafnhildur Ragnarsdóttir, Hye-Ree Ghim, Igor Žagar, Iliana Reyes, Inge Zink, Ioana Goga, Isabelle Barrière, Isabelle Maillochon, Jacqueline Sachs, Jacqueline van Kampen, Jane Herbert, Jane S. Tsay, Janet Bang, Jan Edwards, Javier Aguado Orea, Jean Berko Gleason, Jean Quigley, Jean-Adolphe Rondal, Jeannine Goh, Jeroen Aarssen, Jing Zhou, Jody Tommerdahl, Joe Pater, Johanna Nicholas, Jóhanna Thelma Einarsdóttir, Johanne Paradis, John Neil Bohannon III, Jordan Zlatev, José L. Linaza, Ju-Yeon Ryu, Judit Navracsics, Julian Pine, Julie Brittain, Julie McMillan, Jürgen Weissenborn, Juana Liceras, Kaja Kohler, Karina Hess Zimmermann, Karme Beek, Katerina Palasis, Katherine Demuth, Katherine Nelson, Kathy Post, Keith Sawyer, Kim Plunkett, Klaus Wagner, Klára Matiasovitsová, L. Haggerty, Laetitia de Almeida, Larisa Avram, Larry F. Guthrie, Leonor Scliar-Cabral, Liliana Tolchinsky, Linda Kelly, Linhui Li, Lise Menn, Livia Tonelli, Lois Bloom, Lori Van Houten, Lorraine McCune, Lynn S. Bliss, Madalena Cruz-Ferreira, Madeleine Leveillé, Magda Krupa-Kwiatkowska, Magdalena Smoczynska, Maigi Vija, Maja Roch, Manuela Wagner, Marc Bornstein, Margaret Deuchar, Maria del Carmen Aguirre Martínez, Maria Emma Ticio, María Jesús Pérez-Bazán, Maria João Freitas, Maria-Llanos Luque Sánchez, Marie-Thérèse Le Normand, Mariko Hayashi, Marilyn Vihman, Marta Fernández Vázquez, Martha Shiro, Marty Demetras, Mary Ann Evans, Mary Beckman, Mary Erbaugh, Masayuki Yokoyama, Mats Andrén, Max Miller, Megan Devlin, Melanie Soderstrom, Melissa Redford, Melita Kovacevic, Michael Brent, Michael Forrester, Michelle McGillion, Michelle White, Milagros Fernández Pérez, Miquel Serra, Mirco Fasolo, Mireas Llinas, Mireia Llinàs-Grau, Mitsuhiko Ota, Mohamed Lahrouchi, Monique Vion, Myron Korman, Nan Bernstein Ratner, Naomi Hamasaki, Naomi Yamaguchi, Natalia Gagarina, Neil Smith, Neiloufar Family, Nina Gram Garmann, Níria Esteve-Gibert, Norio Naka, Núria Esteve-Gibert, Oksana Bailleul, Ondene Van Dulm, Oralia Rodríguez Arredondo, Outi Bat-El, Pamela Rollins, Patrick Suppes, Paul Fletcher, Paula Fikkert, Péter Bodor, Petra Bos, Petra Hendriks, Petra Sleeman, Pilar Prieto, Rangaswamy Narasimhan, Raquel Fernández Fuertes, Rebecca Burns, Reili Argus, Richard Sprott, Richard Weist, Roberto Soto Valle, Roger Brown, Ron Gillam, Rosa Graciela Montes, Roy Higginson, Ruth Berman, Sam Leung, Sanne Kuijper, Seba Al-Hindawy, Shaima AlQattan, Sharon Inkelas, Silvia Nieva, Silvia Romero Contreras, Sirli Zupping, Sophie Kern, Sotaro Kita, Stan Kuczaj, Stephen Matthews, Steven Gillis, Sudaporn Luksaneeyanawin, Susan Ellis Weismer, Susan Gelman, Susan R. Braunwald, Susana Correia, Susana López Ornat, Susanne Miyata, Sven Strömqvist, Takeo Ishii, Tamirand De Lisser, Tania Ionin, Teresa da Costa, Thea Cameron-Faulkner, Thomas Doukas, Thomas Lee, Tina Ringstad, Twila Tardif, Ursula Stephany, Valentin Remedi, Victoria Marrero, Virginia C. Gathercole, Virginia Gathercole, Virginia Valian, Virginia Yip, William Hall, William Snyder, Xiangjun Deng, Yasuhiro Shirai, Yonata Levy, Yoshiki Ogawa, Yow Wei Quin, Yvan Rose, Zhang Yibin.</w:t>
      </w:r>
    </w:p>
    <w:p w:rsidR="00000000" w:rsidDel="00000000" w:rsidP="00000000" w:rsidRDefault="00000000" w:rsidRPr="00000000" w14:paraId="00000043">
      <w:pPr>
        <w:pStyle w:val="Heading2"/>
        <w:rPr>
          <w:rFonts w:ascii="Times New Roman" w:cs="Times New Roman" w:eastAsia="Times New Roman" w:hAnsi="Times New Roman"/>
          <w:color w:val="000000"/>
          <w:sz w:val="24"/>
          <w:szCs w:val="24"/>
        </w:rPr>
      </w:pPr>
      <w:bookmarkStart w:colFirst="0" w:colLast="0" w:name="_heading=h.tuvjs3ubscja" w:id="25"/>
      <w:bookmarkEnd w:id="25"/>
      <w:r w:rsidDel="00000000" w:rsidR="00000000" w:rsidRPr="00000000">
        <w:rPr>
          <w:rFonts w:ascii="Times New Roman" w:cs="Times New Roman" w:eastAsia="Times New Roman" w:hAnsi="Times New Roman"/>
          <w:color w:val="000000"/>
          <w:sz w:val="24"/>
          <w:szCs w:val="24"/>
          <w:rtl w:val="0"/>
        </w:rPr>
        <w:t xml:space="preserve">References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Arel-Bundock, V. (2021). WDI: World development indicators and other World Bank data. R package version, 2(4). Eurostat (2022). Foreign language skills statistics. Available from</w:t>
      </w:r>
      <w:hyperlink r:id="rId7">
        <w:r w:rsidDel="00000000" w:rsidR="00000000" w:rsidRPr="00000000">
          <w:rPr>
            <w:rFonts w:ascii="Times New Roman" w:cs="Times New Roman" w:eastAsia="Times New Roman" w:hAnsi="Times New Roman"/>
            <w:u w:val="single"/>
            <w:rtl w:val="0"/>
          </w:rPr>
          <w:t xml:space="preserve"> https://ec.europa.eu/eurostat/statistics-explained/index.php?title=Foreign_language_skills_statistics</w:t>
        </w:r>
      </w:hyperlink>
      <w:r w:rsidDel="00000000" w:rsidR="00000000" w:rsidRPr="00000000">
        <w:rPr>
          <w:rFonts w:ascii="Times New Roman" w:cs="Times New Roman" w:eastAsia="Times New Roman" w:hAnsi="Times New Roman"/>
          <w:rtl w:val="0"/>
        </w:rPr>
        <w:t xml:space="preserve">, last visited August 17, 2024. Grosjean, F. (2024). Bilingual and Multilingual Children: New Findings and Directions. New York, NY: Oxford University Press. Our World in Data (2022). Share of the population with at least some secondary education. Available from</w:t>
      </w:r>
      <w:hyperlink r:id="rId8">
        <w:r w:rsidDel="00000000" w:rsidR="00000000" w:rsidRPr="00000000">
          <w:rPr>
            <w:rFonts w:ascii="Times New Roman" w:cs="Times New Roman" w:eastAsia="Times New Roman" w:hAnsi="Times New Roman"/>
            <w:u w:val="single"/>
            <w:rtl w:val="0"/>
          </w:rPr>
          <w:t xml:space="preserve"> https://ourworldindata.org/grapher/share-of-the-population-with-at-least-some-secondary-education</w:t>
        </w:r>
      </w:hyperlink>
      <w:r w:rsidDel="00000000" w:rsidR="00000000" w:rsidRPr="00000000">
        <w:rPr>
          <w:rFonts w:ascii="Times New Roman" w:cs="Times New Roman" w:eastAsia="Times New Roman" w:hAnsi="Times New Roman"/>
          <w:rtl w:val="0"/>
        </w:rPr>
        <w:t xml:space="preserve">, last visited August 17, 2024. Data downloaded 2022-02-17. United Nations (2022). Household Size and Composition database. Available from</w:t>
      </w:r>
      <w:hyperlink r:id="rId9">
        <w:r w:rsidDel="00000000" w:rsidR="00000000" w:rsidRPr="00000000">
          <w:rPr>
            <w:rFonts w:ascii="Times New Roman" w:cs="Times New Roman" w:eastAsia="Times New Roman" w:hAnsi="Times New Roman"/>
            <w:u w:val="single"/>
            <w:rtl w:val="0"/>
          </w:rPr>
          <w:t xml:space="preserve"> https://www.un.org/development/desa/pd/data/household-size-and-composition</w:t>
        </w:r>
      </w:hyperlink>
      <w:r w:rsidDel="00000000" w:rsidR="00000000" w:rsidRPr="00000000">
        <w:rPr>
          <w:rFonts w:ascii="Times New Roman" w:cs="Times New Roman" w:eastAsia="Times New Roman" w:hAnsi="Times New Roman"/>
          <w:rtl w:val="0"/>
        </w:rPr>
        <w:t xml:space="preserve">, last visited August 17, 2024. U.S. Census Bureau. (2020). Educational Attainment in the United States: 2019. U.S. Department of Commerce. Retrieved from</w:t>
      </w:r>
      <w:hyperlink r:id="rId10">
        <w:r w:rsidDel="00000000" w:rsidR="00000000" w:rsidRPr="00000000">
          <w:rPr>
            <w:rFonts w:ascii="Times New Roman" w:cs="Times New Roman" w:eastAsia="Times New Roman" w:hAnsi="Times New Roman"/>
            <w:u w:val="single"/>
            <w:rtl w:val="0"/>
          </w:rPr>
          <w:t xml:space="preserve"> https://www.census.gov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pStyle w:val="Heading2"/>
        <w:rPr>
          <w:rFonts w:ascii="Times New Roman" w:cs="Times New Roman" w:eastAsia="Times New Roman" w:hAnsi="Times New Roman"/>
          <w:color w:val="000000"/>
          <w:sz w:val="24"/>
          <w:szCs w:val="24"/>
        </w:rPr>
      </w:pPr>
      <w:bookmarkStart w:colFirst="0" w:colLast="0" w:name="_heading=h.g3asyq50twqr" w:id="26"/>
      <w:bookmarkEnd w:id="26"/>
      <w:r w:rsidDel="00000000" w:rsidR="00000000" w:rsidRPr="00000000">
        <w:rPr>
          <w:rFonts w:ascii="Times New Roman" w:cs="Times New Roman" w:eastAsia="Times New Roman" w:hAnsi="Times New Roman"/>
          <w:color w:val="000000"/>
          <w:sz w:val="24"/>
          <w:szCs w:val="24"/>
          <w:rtl w:val="0"/>
        </w:rPr>
        <w:t xml:space="preserve">Package and environment version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version 4.1.0 (2021-05-18)</w:t>
        <w:br w:type="textWrapping"/>
        <w:t xml:space="preserve">## Platform: x86_64-apple-darwin17.0 (64-bit)</w:t>
        <w:br w:type="textWrapping"/>
        <w:t xml:space="preserve">## Running under: macOS Big Sur 10.16</w:t>
        <w:br w:type="textWrapping"/>
        <w:t xml:space="preserve">##</w:t>
        <w:br w:type="textWrapping"/>
        <w:t xml:space="preserve">## Matrix products: default</w:t>
        <w:br w:type="textWrapping"/>
        <w:t xml:space="preserve">## BLAS:   /Library/Frameworks/R.framework/Versions/4.1/Resources/lib/libRblas.dylib</w:t>
        <w:br w:type="textWrapping"/>
        <w:t xml:space="preserve">## LAPACK: /Library/Frameworks/R.framework/Versions/4.1/Resources/lib/libRlapack.dylib</w:t>
        <w:br w:type="textWrapping"/>
        <w:t xml:space="preserve">##</w:t>
        <w:br w:type="textWrapping"/>
        <w:t xml:space="preserve">## locale:</w:t>
        <w:br w:type="textWrapping"/>
        <w:t xml:space="preserve">## [1] en_US.UTF-8/en_US.UTF-8/en_US.UTF-8/C/en_US.UTF-8/en_US.UTF-8</w:t>
        <w:br w:type="textWrapping"/>
        <w:t xml:space="preserve">##</w:t>
        <w:br w:type="textWrapping"/>
        <w:t xml:space="preserve">## attached base packages:</w:t>
        <w:br w:type="textWrapping"/>
        <w:t xml:space="preserve">## [1] stats </w:t>
        <w:tab/>
        <w:t xml:space="preserve">graphics  grDevices utils </w:t>
        <w:tab/>
        <w:t xml:space="preserve">datasets  methods   base    </w:t>
        <w:br w:type="textWrapping"/>
        <w:t xml:space="preserve">##</w:t>
        <w:br w:type="textWrapping"/>
        <w:t xml:space="preserve">## other attached packages:</w:t>
        <w:br w:type="textWrapping"/>
        <w:t xml:space="preserve">##  [1] RColorBrewer_1.1-3 rjson_0.2.21   </w:t>
        <w:tab/>
        <w:t xml:space="preserve">ggthemes_4.2.4 </w:t>
        <w:tab/>
        <w:t xml:space="preserve">GGally_2.1.2     </w:t>
        <w:br w:type="textWrapping"/>
        <w:t xml:space="preserve">##  [5] plotly_4.10.0  </w:t>
        <w:tab/>
        <w:t xml:space="preserve">ggpubr_0.4.0   </w:t>
        <w:tab/>
        <w:t xml:space="preserve">kableExtra_1.3.4   stringr_1.5.1    </w:t>
        <w:br w:type="textWrapping"/>
        <w:t xml:space="preserve">##  [9] scales_1.2.0   </w:t>
        <w:tab/>
        <w:t xml:space="preserve">purrr_1.0.2    </w:t>
        <w:tab/>
        <w:t xml:space="preserve">tidyr_1.3.1    </w:t>
        <w:tab/>
        <w:t xml:space="preserve">dplyr_1.1.4      </w:t>
        <w:br w:type="textWrapping"/>
        <w:t xml:space="preserve">## [13] ggplot2_3.3.6  </w:t>
        <w:tab/>
        <w:t xml:space="preserve">papaja_0.1.2.9000  tinylabels_0.2.4 </w:t>
        <w:br w:type="textWrapping"/>
        <w:t xml:space="preserve">##</w:t>
        <w:br w:type="textWrapping"/>
        <w:t xml:space="preserve">## loaded via a namespace (and not attached):</w:t>
        <w:br w:type="textWrapping"/>
        <w:t xml:space="preserve">##  [1] Rcpp_1.0.9    </w:t>
        <w:tab/>
        <w:t xml:space="preserve">svglite_2.1.0 </w:t>
        <w:tab/>
        <w:t xml:space="preserve">mvtnorm_1.1-3 </w:t>
        <w:tab/>
        <w:t xml:space="preserve">lattice_0.20-44 </w:t>
        <w:br w:type="textWrapping"/>
        <w:t xml:space="preserve">##  [5] digest_0.6.36 </w:t>
        <w:tab/>
        <w:t xml:space="preserve">utf8_1.2.4    </w:t>
        <w:tab/>
        <w:t xml:space="preserve">plyr_1.8.7    </w:t>
        <w:tab/>
        <w:t xml:space="preserve">R6_2.5.1        </w:t>
        <w:br w:type="textWrapping"/>
        <w:t xml:space="preserve">##  [9] backports_1.5.0   evaluate_0.24.0   coda_0.19-4   </w:t>
        <w:tab/>
        <w:t xml:space="preserve">httr_1.4.3      </w:t>
        <w:br w:type="textWrapping"/>
        <w:t xml:space="preserve">## [13] pillar_1.9.0  </w:t>
        <w:tab/>
        <w:t xml:space="preserve">rlang_1.1.4   </w:t>
        <w:tab/>
        <w:t xml:space="preserve">lazyeval_0.2.2</w:t>
        <w:tab/>
        <w:t xml:space="preserve">rstudioapi_0.13 </w:t>
        <w:br w:type="textWrapping"/>
        <w:t xml:space="preserve">## [17] data.table_1.14.2 car_3.1-0     </w:t>
        <w:tab/>
        <w:t xml:space="preserve">effectsize_0.8.6  rmarkdown_2.27  </w:t>
        <w:br w:type="textWrapping"/>
        <w:t xml:space="preserve">## [21] webshot_0.5.3 </w:t>
        <w:tab/>
        <w:t xml:space="preserve">htmlwidgets_1.5.4 munsell_0.5.0 </w:t>
        <w:tab/>
        <w:t xml:space="preserve">broom_1.0.6.9000</w:t>
        <w:br w:type="textWrapping"/>
        <w:t xml:space="preserve">## [25] compiler_4.1.0</w:t>
        <w:tab/>
        <w:t xml:space="preserve">xfun_0.46     </w:t>
        <w:tab/>
        <w:t xml:space="preserve">pkgconfig_2.0.3   systemfonts_1.0.4</w:t>
        <w:br w:type="textWrapping"/>
        <w:t xml:space="preserve">## [29] parameters_0.21.3 htmltools_0.5.8.1 insight_0.19.7</w:t>
        <w:tab/>
        <w:t xml:space="preserve">tidyselect_1.2.1</w:t>
        <w:br w:type="textWrapping"/>
        <w:t xml:space="preserve">## [33] tibble_3.2.1  </w:t>
        <w:tab/>
        <w:t xml:space="preserve">reshape_0.8.9 </w:t>
        <w:tab/>
        <w:t xml:space="preserve">fansi_1.0.6   </w:t>
        <w:tab/>
        <w:t xml:space="preserve">viridisLite_0.4.0</w:t>
        <w:br w:type="textWrapping"/>
        <w:t xml:space="preserve">## [37] withr_3.0.0   </w:t>
        <w:tab/>
        <w:t xml:space="preserve">grid_4.1.0    </w:t>
        <w:tab/>
        <w:t xml:space="preserve">jsonlite_1.8.8</w:t>
        <w:tab/>
        <w:t xml:space="preserve">xtable_1.8-4    </w:t>
        <w:br w:type="textWrapping"/>
        <w:t xml:space="preserve">## [41] gtable_0.3.0  </w:t>
        <w:tab/>
        <w:t xml:space="preserve">lifecycle_1.0.4   magrittr_2.0.3</w:t>
        <w:tab/>
        <w:t xml:space="preserve">bayestestR_0.13.1</w:t>
        <w:br w:type="textWrapping"/>
        <w:t xml:space="preserve">## [45] datawizard_0.9.1  estimability_1.3  cli_3.6.3     </w:t>
        <w:tab/>
        <w:t xml:space="preserve">stringi_1.8.4   </w:t>
        <w:br w:type="textWrapping"/>
        <w:t xml:space="preserve">## [49] carData_3.0-5 </w:t>
        <w:tab/>
        <w:t xml:space="preserve">ggsignif_0.6.1</w:t>
        <w:tab/>
        <w:t xml:space="preserve">xml2_1.3.3    </w:t>
        <w:tab/>
        <w:t xml:space="preserve">generics_0.1.3  </w:t>
        <w:br w:type="textWrapping"/>
        <w:t xml:space="preserve">## [53] vctrs_0.6.5   </w:t>
        <w:tab/>
        <w:t xml:space="preserve">tools_4.1.0   </w:t>
        <w:tab/>
        <w:t xml:space="preserve">glue_1.7.0    </w:t>
        <w:tab/>
        <w:t xml:space="preserve">emmeans_1.7.5   </w:t>
        <w:br w:type="textWrapping"/>
        <w:t xml:space="preserve">## [57] abind_1.4-5   </w:t>
        <w:tab/>
        <w:t xml:space="preserve">fastmap_1.2.0 </w:t>
        <w:tab/>
        <w:t xml:space="preserve">yaml_2.3.9    </w:t>
        <w:tab/>
        <w:t xml:space="preserve">colorspace_2.0-3</w:t>
        <w:br w:type="textWrapping"/>
        <w:t xml:space="preserve">## [61] rstatix_0.7.0 </w:t>
        <w:tab/>
        <w:t xml:space="preserve">rvest_1.0.2   </w:t>
        <w:tab/>
        <w:t xml:space="preserve">knitr_1.48</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keepNext w:val="1"/>
      <w:keepLines w:val="1"/>
      <w:spacing w:after="240" w:before="240"/>
      <w:jc w:val="center"/>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Heading2">
    <w:name w:val="Heading 2"/>
    <w:basedOn w:val="Normal"/>
    <w:next w:val="BodyText"/>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Heading3">
    <w:name w:val="Heading 3"/>
    <w:basedOn w:val="Normal"/>
    <w:next w:val="BodyText"/>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sz w:val="24"/>
      <w:szCs w:val="24"/>
    </w:rPr>
  </w:style>
  <w:style w:type="paragraph" w:styleId="Heading4">
    <w:name w:val="Heading 4"/>
    <w:basedOn w:val="Normal"/>
    <w:next w:val="BodyText"/>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sz w:val="24"/>
      <w:szCs w:val="24"/>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sz w:val="24"/>
      <w:szCs w:val="24"/>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f8f8f8" w:val="clear"/>
      <w:wordWrap w:val="0"/>
    </w:pPr>
  </w:style>
  <w:style w:type="character" w:styleId="KeywordTok" w:customStyle="1">
    <w:name w:val="KeywordTok"/>
    <w:basedOn w:val="VerbatimChar"/>
    <w:rPr>
      <w:b w:val="1"/>
      <w:color w:val="204a87"/>
      <w:shd w:fill="f8f8f8" w:val="clear"/>
    </w:rPr>
  </w:style>
  <w:style w:type="character" w:styleId="DataTypeTok" w:customStyle="1">
    <w:name w:val="DataTypeTok"/>
    <w:basedOn w:val="VerbatimChar"/>
    <w:rPr>
      <w:color w:val="204a87"/>
      <w:shd w:fill="f8f8f8" w:val="clear"/>
    </w:rPr>
  </w:style>
  <w:style w:type="character" w:styleId="DecValTok" w:customStyle="1">
    <w:name w:val="DecValTok"/>
    <w:basedOn w:val="VerbatimChar"/>
    <w:rPr>
      <w:color w:val="0000cf"/>
      <w:shd w:fill="f8f8f8" w:val="clear"/>
    </w:rPr>
  </w:style>
  <w:style w:type="character" w:styleId="BaseNTok" w:customStyle="1">
    <w:name w:val="BaseNTok"/>
    <w:basedOn w:val="VerbatimChar"/>
    <w:rPr>
      <w:color w:val="0000cf"/>
      <w:shd w:fill="f8f8f8" w:val="clear"/>
    </w:rPr>
  </w:style>
  <w:style w:type="character" w:styleId="FloatTok" w:customStyle="1">
    <w:name w:val="FloatTok"/>
    <w:basedOn w:val="VerbatimChar"/>
    <w:rPr>
      <w:color w:val="0000cf"/>
      <w:shd w:fill="f8f8f8" w:val="clear"/>
    </w:rPr>
  </w:style>
  <w:style w:type="character" w:styleId="ConstantTok" w:customStyle="1">
    <w:name w:val="ConstantTok"/>
    <w:basedOn w:val="VerbatimChar"/>
    <w:rPr>
      <w:color w:val="000000"/>
      <w:shd w:fill="f8f8f8" w:val="clear"/>
    </w:rPr>
  </w:style>
  <w:style w:type="character" w:styleId="CharTok" w:customStyle="1">
    <w:name w:val="CharTok"/>
    <w:basedOn w:val="VerbatimChar"/>
    <w:rPr>
      <w:color w:val="4e9a06"/>
      <w:shd w:fill="f8f8f8" w:val="clear"/>
    </w:rPr>
  </w:style>
  <w:style w:type="character" w:styleId="SpecialCharTok" w:customStyle="1">
    <w:name w:val="SpecialCharTok"/>
    <w:basedOn w:val="VerbatimChar"/>
    <w:rPr>
      <w:color w:val="000000"/>
      <w:shd w:fill="f8f8f8" w:val="clear"/>
    </w:rPr>
  </w:style>
  <w:style w:type="character" w:styleId="StringTok" w:customStyle="1">
    <w:name w:val="StringTok"/>
    <w:basedOn w:val="VerbatimChar"/>
    <w:rPr>
      <w:color w:val="4e9a06"/>
      <w:shd w:fill="f8f8f8" w:val="clear"/>
    </w:rPr>
  </w:style>
  <w:style w:type="character" w:styleId="VerbatimStringTok" w:customStyle="1">
    <w:name w:val="VerbatimStringTok"/>
    <w:basedOn w:val="VerbatimChar"/>
    <w:rPr>
      <w:color w:val="4e9a06"/>
      <w:shd w:fill="f8f8f8" w:val="clear"/>
    </w:rPr>
  </w:style>
  <w:style w:type="character" w:styleId="SpecialStringTok" w:customStyle="1">
    <w:name w:val="SpecialStringTok"/>
    <w:basedOn w:val="VerbatimChar"/>
    <w:rPr>
      <w:color w:val="4e9a06"/>
      <w:shd w:fill="f8f8f8" w:val="clear"/>
    </w:rPr>
  </w:style>
  <w:style w:type="character" w:styleId="ImportTok" w:customStyle="1">
    <w:name w:val="ImportTok"/>
    <w:basedOn w:val="VerbatimChar"/>
    <w:rPr>
      <w:shd w:fill="f8f8f8" w:val="clear"/>
    </w:rPr>
  </w:style>
  <w:style w:type="character" w:styleId="CommentTok" w:customStyle="1">
    <w:name w:val="CommentTok"/>
    <w:basedOn w:val="VerbatimChar"/>
    <w:rPr>
      <w:i w:val="1"/>
      <w:color w:val="8f5902"/>
      <w:shd w:fill="f8f8f8" w:val="clear"/>
    </w:rPr>
  </w:style>
  <w:style w:type="character" w:styleId="DocumentationTok" w:customStyle="1">
    <w:name w:val="DocumentationTok"/>
    <w:basedOn w:val="VerbatimChar"/>
    <w:rPr>
      <w:b w:val="1"/>
      <w:i w:val="1"/>
      <w:color w:val="8f5902"/>
      <w:shd w:fill="f8f8f8" w:val="clear"/>
    </w:rPr>
  </w:style>
  <w:style w:type="character" w:styleId="AnnotationTok" w:customStyle="1">
    <w:name w:val="AnnotationTok"/>
    <w:basedOn w:val="VerbatimChar"/>
    <w:rPr>
      <w:b w:val="1"/>
      <w:i w:val="1"/>
      <w:color w:val="8f5902"/>
      <w:shd w:fill="f8f8f8" w:val="clear"/>
    </w:rPr>
  </w:style>
  <w:style w:type="character" w:styleId="CommentVarTok" w:customStyle="1">
    <w:name w:val="CommentVarTok"/>
    <w:basedOn w:val="VerbatimChar"/>
    <w:rPr>
      <w:b w:val="1"/>
      <w:i w:val="1"/>
      <w:color w:val="8f5902"/>
      <w:shd w:fill="f8f8f8" w:val="clear"/>
    </w:rPr>
  </w:style>
  <w:style w:type="character" w:styleId="OtherTok" w:customStyle="1">
    <w:name w:val="OtherTok"/>
    <w:basedOn w:val="VerbatimChar"/>
    <w:rPr>
      <w:color w:val="8f5902"/>
      <w:shd w:fill="f8f8f8" w:val="clear"/>
    </w:rPr>
  </w:style>
  <w:style w:type="character" w:styleId="FunctionTok" w:customStyle="1">
    <w:name w:val="FunctionTok"/>
    <w:basedOn w:val="VerbatimChar"/>
    <w:rPr>
      <w:color w:val="000000"/>
      <w:shd w:fill="f8f8f8" w:val="clear"/>
    </w:rPr>
  </w:style>
  <w:style w:type="character" w:styleId="VariableTok" w:customStyle="1">
    <w:name w:val="VariableTok"/>
    <w:basedOn w:val="VerbatimChar"/>
    <w:rPr>
      <w:color w:val="000000"/>
      <w:shd w:fill="f8f8f8" w:val="clear"/>
    </w:rPr>
  </w:style>
  <w:style w:type="character" w:styleId="ControlFlowTok" w:customStyle="1">
    <w:name w:val="ControlFlowTok"/>
    <w:basedOn w:val="VerbatimChar"/>
    <w:rPr>
      <w:b w:val="1"/>
      <w:color w:val="204a87"/>
      <w:shd w:fill="f8f8f8" w:val="clear"/>
    </w:rPr>
  </w:style>
  <w:style w:type="character" w:styleId="OperatorTok" w:customStyle="1">
    <w:name w:val="OperatorTok"/>
    <w:basedOn w:val="VerbatimChar"/>
    <w:rPr>
      <w:b w:val="1"/>
      <w:color w:val="ce5c00"/>
      <w:shd w:fill="f8f8f8" w:val="clear"/>
    </w:rPr>
  </w:style>
  <w:style w:type="character" w:styleId="BuiltInTok" w:customStyle="1">
    <w:name w:val="BuiltInTok"/>
    <w:basedOn w:val="VerbatimChar"/>
    <w:rPr>
      <w:shd w:fill="f8f8f8" w:val="clear"/>
    </w:rPr>
  </w:style>
  <w:style w:type="character" w:styleId="ExtensionTok" w:customStyle="1">
    <w:name w:val="ExtensionTok"/>
    <w:basedOn w:val="VerbatimChar"/>
    <w:rPr>
      <w:shd w:fill="f8f8f8" w:val="clear"/>
    </w:rPr>
  </w:style>
  <w:style w:type="character" w:styleId="PreprocessorTok" w:customStyle="1">
    <w:name w:val="PreprocessorTok"/>
    <w:basedOn w:val="VerbatimChar"/>
    <w:rPr>
      <w:i w:val="1"/>
      <w:color w:val="8f5902"/>
      <w:shd w:fill="f8f8f8" w:val="clear"/>
    </w:rPr>
  </w:style>
  <w:style w:type="character" w:styleId="AttributeTok" w:customStyle="1">
    <w:name w:val="AttributeTok"/>
    <w:basedOn w:val="VerbatimChar"/>
    <w:rPr>
      <w:color w:val="c4a000"/>
      <w:shd w:fill="f8f8f8" w:val="clear"/>
    </w:rPr>
  </w:style>
  <w:style w:type="character" w:styleId="RegionMarkerTok" w:customStyle="1">
    <w:name w:val="RegionMarkerTok"/>
    <w:basedOn w:val="VerbatimChar"/>
    <w:rPr>
      <w:shd w:fill="f8f8f8" w:val="clear"/>
    </w:rPr>
  </w:style>
  <w:style w:type="character" w:styleId="InformationTok" w:customStyle="1">
    <w:name w:val="InformationTok"/>
    <w:basedOn w:val="VerbatimChar"/>
    <w:rPr>
      <w:b w:val="1"/>
      <w:i w:val="1"/>
      <w:color w:val="8f5902"/>
      <w:shd w:fill="f8f8f8" w:val="clear"/>
    </w:rPr>
  </w:style>
  <w:style w:type="character" w:styleId="WarningTok" w:customStyle="1">
    <w:name w:val="WarningTok"/>
    <w:basedOn w:val="VerbatimChar"/>
    <w:rPr>
      <w:b w:val="1"/>
      <w:i w:val="1"/>
      <w:color w:val="8f5902"/>
      <w:shd w:fill="f8f8f8" w:val="clear"/>
    </w:rPr>
  </w:style>
  <w:style w:type="character" w:styleId="AlertTok" w:customStyle="1">
    <w:name w:val="AlertTok"/>
    <w:basedOn w:val="VerbatimChar"/>
    <w:rPr>
      <w:color w:val="ef2929"/>
      <w:shd w:fill="f8f8f8" w:val="clear"/>
    </w:rPr>
  </w:style>
  <w:style w:type="character" w:styleId="ErrorTok" w:customStyle="1">
    <w:name w:val="ErrorTok"/>
    <w:basedOn w:val="VerbatimChar"/>
    <w:rPr>
      <w:b w:val="1"/>
      <w:color w:val="a40000"/>
      <w:shd w:fill="f8f8f8" w:val="clear"/>
    </w:rPr>
  </w:style>
  <w:style w:type="character" w:styleId="NormalTok" w:customStyle="1">
    <w:name w:val="NormalTok"/>
    <w:basedOn w:val="VerbatimChar"/>
    <w:rPr>
      <w:shd w:fill="f8f8f8" w:val="cle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ensus.gov" TargetMode="External"/><Relationship Id="rId9" Type="http://schemas.openxmlformats.org/officeDocument/2006/relationships/hyperlink" Target="https://www.un.org/development/desa/pd/data/household-size-and-composi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c.europa.eu/eurostat/statistics-explained/index.php?title=Foreign_language_skills_statistics" TargetMode="External"/><Relationship Id="rId8" Type="http://schemas.openxmlformats.org/officeDocument/2006/relationships/hyperlink" Target="https://ourworldindata.org/grapher/share-of-the-population-with-at-least-some-secondary-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5QKKsuUdELIGxPomqN1ndTC76Q==">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2024-07-21T19:10:55Z</dcterms:created>
  <dc:creator>Camila Scaff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2024-02-26</vt:lpwstr>
  </property>
  <property fmtid="{D5CDD505-2E9C-101B-9397-08002B2CF9AE}" pid="3" name="output">
    <vt:lpwstr>output</vt:lpwstr>
  </property>
</Properties>
</file>