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5F1" w:rsidRPr="00846582" w:rsidRDefault="00102D27" w:rsidP="00D91F28">
      <w:pPr>
        <w:spacing w:line="240" w:lineRule="auto"/>
        <w:jc w:val="center"/>
        <w:rPr>
          <w:b/>
        </w:rPr>
      </w:pPr>
      <w:r w:rsidRPr="00846582">
        <w:rPr>
          <w:b/>
        </w:rPr>
        <w:t>CENTER FOR ACCELERATING MATERIALS MODELING</w:t>
      </w:r>
    </w:p>
    <w:p w:rsidR="00846582" w:rsidRDefault="00102D27" w:rsidP="00D91F28">
      <w:pPr>
        <w:spacing w:line="240" w:lineRule="auto"/>
        <w:jc w:val="center"/>
        <w:rPr>
          <w:b/>
        </w:rPr>
      </w:pPr>
      <w:r w:rsidRPr="00846582">
        <w:rPr>
          <w:b/>
        </w:rPr>
        <w:t xml:space="preserve">PROGRESS REPORT: </w:t>
      </w:r>
      <w:r w:rsidR="00367F7A">
        <w:rPr>
          <w:b/>
        </w:rPr>
        <w:t>THIRD</w:t>
      </w:r>
      <w:r w:rsidRPr="00846582">
        <w:rPr>
          <w:b/>
        </w:rPr>
        <w:t xml:space="preserve"> QUARTER FY2013</w:t>
      </w:r>
    </w:p>
    <w:p w:rsidR="00846582" w:rsidRPr="00846582" w:rsidRDefault="00102D27" w:rsidP="00D91F28">
      <w:pPr>
        <w:spacing w:line="240" w:lineRule="auto"/>
        <w:jc w:val="center"/>
        <w:rPr>
          <w:b/>
        </w:rPr>
      </w:pPr>
      <w:r>
        <w:rPr>
          <w:b/>
        </w:rPr>
        <w:t>PI: MARK HAGEN</w:t>
      </w:r>
    </w:p>
    <w:p w:rsidR="00846582" w:rsidRDefault="00846582" w:rsidP="00D91F28">
      <w:pPr>
        <w:spacing w:line="240" w:lineRule="auto"/>
        <w:jc w:val="center"/>
      </w:pPr>
    </w:p>
    <w:p w:rsidR="00AD0FFF" w:rsidRPr="00BD6B41" w:rsidRDefault="00AD0FFF" w:rsidP="00C76116">
      <w:pPr>
        <w:spacing w:after="0" w:line="240" w:lineRule="auto"/>
        <w:rPr>
          <w:b/>
        </w:rPr>
      </w:pPr>
      <w:r w:rsidRPr="00BD6B41">
        <w:rPr>
          <w:b/>
        </w:rPr>
        <w:t>Background and Overview</w:t>
      </w:r>
    </w:p>
    <w:p w:rsidR="00C76116" w:rsidRDefault="00C76116" w:rsidP="00C76116">
      <w:pPr>
        <w:spacing w:after="0" w:line="240" w:lineRule="auto"/>
        <w:jc w:val="both"/>
      </w:pPr>
    </w:p>
    <w:p w:rsidR="00AD0FFF" w:rsidRDefault="00AD0FFF" w:rsidP="00C76116">
      <w:pPr>
        <w:spacing w:after="0" w:line="240" w:lineRule="auto"/>
        <w:jc w:val="both"/>
      </w:pPr>
      <w:r>
        <w:t xml:space="preserve">The goal for CAMM in FY2013 is to develop the software infrastructure </w:t>
      </w:r>
      <w:r w:rsidR="00D563F7">
        <w:t>that will enable the</w:t>
      </w:r>
      <w:r>
        <w:t xml:space="preserve"> refine</w:t>
      </w:r>
      <w:r w:rsidR="00D563F7">
        <w:t>ment of</w:t>
      </w:r>
      <w:r>
        <w:t xml:space="preserve"> parameters in the force fields (potentials) used in Molecular Dynamics (MD) simulations</w:t>
      </w:r>
      <w:r w:rsidR="00D563F7">
        <w:t xml:space="preserve"> by comparison with</w:t>
      </w:r>
      <w:r>
        <w:t xml:space="preserve"> experimental neutron scattering data. In order to achieve this goal the work of CAMM in FY2013 is divided into 3 initial threads that will combine together later in the FY to demonstrate that the goal has been achieved.</w:t>
      </w:r>
    </w:p>
    <w:p w:rsidR="00C76116" w:rsidRDefault="00C76116" w:rsidP="00C76116">
      <w:pPr>
        <w:spacing w:after="0" w:line="240" w:lineRule="auto"/>
        <w:jc w:val="both"/>
      </w:pPr>
    </w:p>
    <w:p w:rsidR="007C5777" w:rsidRDefault="00AD0FFF" w:rsidP="00C76116">
      <w:pPr>
        <w:spacing w:after="0" w:line="240" w:lineRule="auto"/>
        <w:jc w:val="both"/>
      </w:pPr>
      <w:r>
        <w:t xml:space="preserve">The first thread is the development of the refinement software and </w:t>
      </w:r>
      <w:r w:rsidR="00D563F7">
        <w:t xml:space="preserve">the </w:t>
      </w:r>
      <w:r>
        <w:t>workflows</w:t>
      </w:r>
      <w:r w:rsidR="00D563F7">
        <w:t xml:space="preserve"> for performing the MD simulations as part of the refinement process</w:t>
      </w:r>
      <w:r>
        <w:t>. This work is being undertaken by staff from Neutron Data Analysis and Visualization (NDAV) group in Neutron Sciences Directorate (</w:t>
      </w:r>
      <w:proofErr w:type="spellStart"/>
      <w:r>
        <w:t>NScD</w:t>
      </w:r>
      <w:proofErr w:type="spellEnd"/>
      <w:r>
        <w:t xml:space="preserve">) and staff from Computing and Computational Sciences Directorate (CCSD). </w:t>
      </w:r>
    </w:p>
    <w:p w:rsidR="00C76116" w:rsidRDefault="00C76116" w:rsidP="00C76116">
      <w:pPr>
        <w:spacing w:after="0" w:line="240" w:lineRule="auto"/>
        <w:jc w:val="both"/>
      </w:pPr>
    </w:p>
    <w:p w:rsidR="007C5777" w:rsidRDefault="00AD0FFF" w:rsidP="00C76116">
      <w:pPr>
        <w:spacing w:after="0" w:line="240" w:lineRule="auto"/>
        <w:jc w:val="both"/>
      </w:pPr>
      <w:r>
        <w:t xml:space="preserve">The second thread is </w:t>
      </w:r>
      <w:r w:rsidR="00DF1434">
        <w:t xml:space="preserve">a </w:t>
      </w:r>
      <w:r>
        <w:t xml:space="preserve">science demonstration project that involves the simulation of the polyethylene oxide-acrylic acid system which is being undertaken by staff from the Center for </w:t>
      </w:r>
      <w:proofErr w:type="spellStart"/>
      <w:r>
        <w:t>Nanophase</w:t>
      </w:r>
      <w:proofErr w:type="spellEnd"/>
      <w:r>
        <w:t xml:space="preserve"> Materials Science (CNMS). </w:t>
      </w:r>
    </w:p>
    <w:p w:rsidR="00AD0FFF" w:rsidRDefault="00AD0FFF" w:rsidP="00C76116">
      <w:pPr>
        <w:spacing w:after="0" w:line="240" w:lineRule="auto"/>
        <w:jc w:val="both"/>
      </w:pPr>
      <w:r>
        <w:t xml:space="preserve">The third and final thread is the science demonstration project to simulate phonons in the </w:t>
      </w:r>
      <w:r w:rsidR="00D563F7">
        <w:t xml:space="preserve">ferroelectric </w:t>
      </w:r>
      <w:r>
        <w:t>KTa</w:t>
      </w:r>
      <w:r w:rsidRPr="00A66018">
        <w:rPr>
          <w:vertAlign w:val="subscript"/>
        </w:rPr>
        <w:t>1-x</w:t>
      </w:r>
      <w:r>
        <w:t>Nb</w:t>
      </w:r>
      <w:r w:rsidRPr="00A66018">
        <w:rPr>
          <w:vertAlign w:val="subscript"/>
        </w:rPr>
        <w:t>x</w:t>
      </w:r>
      <w:r>
        <w:t>O</w:t>
      </w:r>
      <w:r w:rsidRPr="00A66018">
        <w:rPr>
          <w:vertAlign w:val="subscript"/>
        </w:rPr>
        <w:t>3</w:t>
      </w:r>
      <w:r>
        <w:t xml:space="preserve"> oxide </w:t>
      </w:r>
      <w:proofErr w:type="spellStart"/>
      <w:r>
        <w:t>perovskite</w:t>
      </w:r>
      <w:proofErr w:type="spellEnd"/>
      <w:r>
        <w:t xml:space="preserve"> using a variation of </w:t>
      </w:r>
      <w:proofErr w:type="spellStart"/>
      <w:r>
        <w:t>ab</w:t>
      </w:r>
      <w:proofErr w:type="spellEnd"/>
      <w:r>
        <w:t>-initio molecular dynamics. This work is being undertaken by staff from Materials Science and Technology Division (MSTD) in Physical Sciences Directorate.</w:t>
      </w:r>
    </w:p>
    <w:p w:rsidR="00AD0FFF" w:rsidRDefault="00AD0FFF" w:rsidP="00AD0FFF">
      <w:pPr>
        <w:spacing w:line="240" w:lineRule="auto"/>
      </w:pPr>
    </w:p>
    <w:p w:rsidR="00911601" w:rsidRPr="009928A6" w:rsidRDefault="00846582" w:rsidP="00C76116">
      <w:pPr>
        <w:spacing w:after="0" w:line="240" w:lineRule="auto"/>
        <w:rPr>
          <w:b/>
        </w:rPr>
      </w:pPr>
      <w:r w:rsidRPr="00846582">
        <w:rPr>
          <w:b/>
        </w:rPr>
        <w:t>Summary</w:t>
      </w:r>
      <w:r w:rsidR="00AD0FFF">
        <w:rPr>
          <w:b/>
        </w:rPr>
        <w:t xml:space="preserve"> of Work in</w:t>
      </w:r>
      <w:r w:rsidR="00367F7A">
        <w:rPr>
          <w:b/>
        </w:rPr>
        <w:t xml:space="preserve"> Third</w:t>
      </w:r>
      <w:r w:rsidR="00EF7C75">
        <w:rPr>
          <w:b/>
        </w:rPr>
        <w:t xml:space="preserve"> </w:t>
      </w:r>
      <w:r w:rsidR="00AD0FFF">
        <w:rPr>
          <w:b/>
        </w:rPr>
        <w:t>Quarter FY2013</w:t>
      </w:r>
    </w:p>
    <w:p w:rsidR="00C76116" w:rsidRDefault="00C76116" w:rsidP="00C76116">
      <w:pPr>
        <w:spacing w:after="0" w:line="240" w:lineRule="auto"/>
        <w:jc w:val="both"/>
      </w:pPr>
    </w:p>
    <w:p w:rsidR="004B532E" w:rsidRDefault="009928A6" w:rsidP="00C76116">
      <w:pPr>
        <w:spacing w:after="0" w:line="240" w:lineRule="auto"/>
        <w:jc w:val="both"/>
      </w:pPr>
      <w:r>
        <w:t>During the third quarter of FY2013 work has taken place in all 3 of the threads in the CA</w:t>
      </w:r>
      <w:r w:rsidR="007F76EF">
        <w:t xml:space="preserve">MM seed project, with the work on the third thread starting </w:t>
      </w:r>
      <w:r w:rsidR="00BF2833">
        <w:t>during</w:t>
      </w:r>
      <w:r w:rsidR="007F76EF">
        <w:t xml:space="preserve"> this quarter. </w:t>
      </w:r>
    </w:p>
    <w:p w:rsidR="000A3DA2" w:rsidRDefault="000A3DA2" w:rsidP="00C76116">
      <w:pPr>
        <w:spacing w:after="0" w:line="240" w:lineRule="auto"/>
        <w:jc w:val="both"/>
      </w:pPr>
    </w:p>
    <w:p w:rsidR="007F76EF" w:rsidRDefault="007F76EF" w:rsidP="00C76116">
      <w:pPr>
        <w:spacing w:after="0" w:line="240" w:lineRule="auto"/>
        <w:jc w:val="both"/>
      </w:pPr>
      <w:r>
        <w:t xml:space="preserve">At the end of the second quarter FY2013 the work in the first thread revolved around the </w:t>
      </w:r>
      <w:r w:rsidR="002562C1">
        <w:t xml:space="preserve">choice of </w:t>
      </w:r>
      <w:r>
        <w:t>refinement strategy</w:t>
      </w:r>
      <w:r w:rsidR="009D6515">
        <w:t xml:space="preserve"> being used. At that time there appeared to be difficulties using the </w:t>
      </w:r>
      <w:proofErr w:type="spellStart"/>
      <w:r w:rsidR="009D6515">
        <w:t>Levenberg</w:t>
      </w:r>
      <w:proofErr w:type="spellEnd"/>
      <w:r w:rsidR="009D6515">
        <w:t xml:space="preserve">-Marquardt method because of problems with taking the derivatives of parameters describing the force fields used in the MD simulations. As a consequence we were experimenting with using a </w:t>
      </w:r>
      <w:r w:rsidR="00A07B14">
        <w:t>(</w:t>
      </w:r>
      <w:r w:rsidR="009D6515">
        <w:t>derivative free</w:t>
      </w:r>
      <w:r w:rsidR="00A07B14">
        <w:t>)</w:t>
      </w:r>
      <w:r w:rsidR="009D6515">
        <w:t xml:space="preserve"> </w:t>
      </w:r>
      <w:r w:rsidR="00A07B14">
        <w:t xml:space="preserve">Genetic </w:t>
      </w:r>
      <w:r w:rsidR="009D6515">
        <w:t xml:space="preserve">method. Early in the third quarter we made a number of changes to the way that the derivatives were being handled in the framework which made the </w:t>
      </w:r>
      <w:proofErr w:type="spellStart"/>
      <w:r w:rsidR="009D6515">
        <w:t>Levenberg</w:t>
      </w:r>
      <w:proofErr w:type="spellEnd"/>
      <w:r w:rsidR="009D6515">
        <w:t>-Marquardt method rapidly converge to a reliable solution. For cases where the</w:t>
      </w:r>
      <w:r w:rsidR="00DE1CF8">
        <w:t xml:space="preserve"> initial</w:t>
      </w:r>
      <w:r w:rsidR="009D6515">
        <w:t xml:space="preserve"> force field models only need a small </w:t>
      </w:r>
      <w:r w:rsidR="002562C1">
        <w:t xml:space="preserve">amount of </w:t>
      </w:r>
      <w:r w:rsidR="009D6515">
        <w:t xml:space="preserve">refinement this </w:t>
      </w:r>
      <w:proofErr w:type="spellStart"/>
      <w:r w:rsidR="00DE1CF8">
        <w:t>Levenberg</w:t>
      </w:r>
      <w:proofErr w:type="spellEnd"/>
      <w:r w:rsidR="00DE1CF8">
        <w:t xml:space="preserve">-Marquardt </w:t>
      </w:r>
      <w:r w:rsidR="009D6515">
        <w:t xml:space="preserve">method is </w:t>
      </w:r>
      <w:r w:rsidR="00A07B14">
        <w:t xml:space="preserve">highly preferred </w:t>
      </w:r>
      <w:r w:rsidR="00DE1CF8">
        <w:t>because of</w:t>
      </w:r>
      <w:r w:rsidR="00A07B14">
        <w:t xml:space="preserve"> its speed of convergence. However the work on the Genetic method was not wasted because we will be able to use this for cases where we are not initially close to the solution.</w:t>
      </w:r>
    </w:p>
    <w:p w:rsidR="00C76116" w:rsidRDefault="00C76116" w:rsidP="00C76116">
      <w:pPr>
        <w:spacing w:after="0" w:line="240" w:lineRule="auto"/>
        <w:jc w:val="both"/>
      </w:pPr>
    </w:p>
    <w:p w:rsidR="00464A90" w:rsidRDefault="00464A90" w:rsidP="00C76116">
      <w:pPr>
        <w:spacing w:after="0" w:line="240" w:lineRule="auto"/>
        <w:jc w:val="both"/>
      </w:pPr>
      <w:r>
        <w:t xml:space="preserve">Following this initial progress in the third quarter a number of developments have followed in relation to the framework development. In the first and second quarters we have been testing the CAMM framework using NDAV’s small development cluster – </w:t>
      </w:r>
      <w:proofErr w:type="spellStart"/>
      <w:proofErr w:type="gramStart"/>
      <w:r w:rsidR="00D75D50">
        <w:t>c</w:t>
      </w:r>
      <w:r>
        <w:t>hadwick</w:t>
      </w:r>
      <w:proofErr w:type="spellEnd"/>
      <w:proofErr w:type="gramEnd"/>
      <w:r>
        <w:t xml:space="preserve">, </w:t>
      </w:r>
      <w:r w:rsidR="00DE1CF8">
        <w:t xml:space="preserve">but now we have extended the framework </w:t>
      </w:r>
      <w:r>
        <w:t xml:space="preserve">to submit simulation jobs to the </w:t>
      </w:r>
      <w:r w:rsidRPr="00D75D50">
        <w:rPr>
          <w:i/>
        </w:rPr>
        <w:t>hopper.nersc.gov</w:t>
      </w:r>
      <w:r>
        <w:t xml:space="preserve"> Cray supercomputer at NERSC (National Energy Research</w:t>
      </w:r>
      <w:r w:rsidR="002562C1">
        <w:t xml:space="preserve"> Scientific Computing Center),</w:t>
      </w:r>
      <w:r>
        <w:t xml:space="preserve"> Lawrence Berkeley Laboratory. We have also procured, using the equipment funding in CAMM, a server </w:t>
      </w:r>
      <w:r w:rsidRPr="00D75D50">
        <w:rPr>
          <w:i/>
        </w:rPr>
        <w:t>camm.sns.gov</w:t>
      </w:r>
      <w:r>
        <w:t xml:space="preserve"> that will act as the login node for users to make use of the CAMM framework/software.</w:t>
      </w:r>
    </w:p>
    <w:p w:rsidR="00464A90" w:rsidRDefault="00464A90" w:rsidP="00C76116">
      <w:pPr>
        <w:spacing w:after="0" w:line="240" w:lineRule="auto"/>
        <w:jc w:val="both"/>
      </w:pPr>
      <w:r>
        <w:lastRenderedPageBreak/>
        <w:t xml:space="preserve">We have also </w:t>
      </w:r>
      <w:r w:rsidR="00D75D50">
        <w:t>sought to broaden the use of the CAMM framework by reaching out to 3 SNS user groups whose work could benefit from the developments that CAMM has so far made with the framework. These groups were chosen because the simulations related to their research are an incremental extension of the test simu</w:t>
      </w:r>
      <w:r w:rsidR="00BF2833">
        <w:t>lations that were perform</w:t>
      </w:r>
      <w:r w:rsidR="00D75D50">
        <w:t>ed in the first and second quarters.</w:t>
      </w:r>
      <w:r w:rsidR="00BF2833">
        <w:t xml:space="preserve"> The users</w:t>
      </w:r>
      <w:r w:rsidR="00AF4401">
        <w:t xml:space="preserve"> also represent a </w:t>
      </w:r>
      <w:r w:rsidR="002562C1">
        <w:t>spectrum of simulation background ranging</w:t>
      </w:r>
      <w:r w:rsidR="00AF4401">
        <w:t xml:space="preserve"> from the expert to those who have never used simulation before.</w:t>
      </w:r>
      <w:r w:rsidR="00D75D50">
        <w:t xml:space="preserve"> These 3 projects are discussed in more detail later in the report.</w:t>
      </w:r>
    </w:p>
    <w:p w:rsidR="00C76116" w:rsidRDefault="00C76116" w:rsidP="00C76116">
      <w:pPr>
        <w:spacing w:after="0" w:line="240" w:lineRule="auto"/>
        <w:jc w:val="both"/>
      </w:pPr>
    </w:p>
    <w:p w:rsidR="005A77E1" w:rsidRDefault="005A77E1" w:rsidP="00C76116">
      <w:pPr>
        <w:spacing w:after="0" w:line="240" w:lineRule="auto"/>
        <w:jc w:val="both"/>
      </w:pPr>
      <w:r>
        <w:t>The second and third threads of the CAMM seed project involve</w:t>
      </w:r>
      <w:r w:rsidR="00872BE2">
        <w:t xml:space="preserve"> integrating into the CAMM framework </w:t>
      </w:r>
      <w:r>
        <w:t xml:space="preserve">more advanced </w:t>
      </w:r>
      <w:r w:rsidR="00872BE2">
        <w:t xml:space="preserve">MD </w:t>
      </w:r>
      <w:r>
        <w:t xml:space="preserve">simulations. </w:t>
      </w:r>
      <w:r w:rsidR="003C5437">
        <w:t>The</w:t>
      </w:r>
      <w:r>
        <w:t xml:space="preserve"> second thread</w:t>
      </w:r>
      <w:r w:rsidR="003C5437">
        <w:t xml:space="preserve"> is a project to study</w:t>
      </w:r>
      <w:r w:rsidR="005236D2">
        <w:t xml:space="preserve"> polymer electrolytes, in this case polyethylene oxide – acrylic acid in the presence of </w:t>
      </w:r>
      <w:proofErr w:type="spellStart"/>
      <w:r w:rsidR="005236D2">
        <w:t>LiCl</w:t>
      </w:r>
      <w:proofErr w:type="spellEnd"/>
      <w:r w:rsidR="005236D2">
        <w:t>, which</w:t>
      </w:r>
      <w:r w:rsidR="003C5437">
        <w:t xml:space="preserve"> </w:t>
      </w:r>
      <w:r w:rsidR="009C1B66">
        <w:t xml:space="preserve">involves </w:t>
      </w:r>
      <w:r w:rsidR="003C5437">
        <w:t>the incorporation of</w:t>
      </w:r>
      <w:r w:rsidR="009C1B66">
        <w:t xml:space="preserve"> coarse grained sim</w:t>
      </w:r>
      <w:r w:rsidR="005236D2">
        <w:t>ulations</w:t>
      </w:r>
      <w:r w:rsidR="00BF2833">
        <w:t xml:space="preserve"> in the CAMM framework</w:t>
      </w:r>
      <w:r w:rsidR="009C1B66">
        <w:t>.</w:t>
      </w:r>
      <w:r w:rsidR="005236D2">
        <w:t xml:space="preserve"> This project will begin integration during the fourth quarter of FY2013. Work has progressed on this thread during the third quarter by performing some preliminary calculations. The third thread involves the use of </w:t>
      </w:r>
      <w:proofErr w:type="spellStart"/>
      <w:r w:rsidR="005236D2">
        <w:t>ab</w:t>
      </w:r>
      <w:proofErr w:type="spellEnd"/>
      <w:r w:rsidR="005236D2">
        <w:t xml:space="preserve">-initio MD for the study of phonon </w:t>
      </w:r>
      <w:proofErr w:type="spellStart"/>
      <w:r w:rsidR="005236D2">
        <w:t>anha</w:t>
      </w:r>
      <w:r w:rsidR="00BE78DF">
        <w:t>r</w:t>
      </w:r>
      <w:r w:rsidR="005236D2">
        <w:t>monicity</w:t>
      </w:r>
      <w:proofErr w:type="spellEnd"/>
      <w:r w:rsidR="005236D2">
        <w:t>, work on this thread was only begun at the end of the third quarter FY2013.</w:t>
      </w:r>
    </w:p>
    <w:p w:rsidR="00870594" w:rsidRDefault="00870594" w:rsidP="00D5683C">
      <w:pPr>
        <w:spacing w:line="240" w:lineRule="auto"/>
        <w:rPr>
          <w:b/>
        </w:rPr>
      </w:pPr>
    </w:p>
    <w:p w:rsidR="00BD6B41" w:rsidRPr="00BD6B41" w:rsidRDefault="00BD6B41" w:rsidP="00C76116">
      <w:pPr>
        <w:spacing w:after="0" w:line="240" w:lineRule="auto"/>
        <w:rPr>
          <w:b/>
        </w:rPr>
      </w:pPr>
      <w:r w:rsidRPr="00BD6B41">
        <w:rPr>
          <w:b/>
        </w:rPr>
        <w:t>Personnel Working in CAMM</w:t>
      </w:r>
    </w:p>
    <w:p w:rsidR="00C76116" w:rsidRDefault="00C76116" w:rsidP="00C76116">
      <w:pPr>
        <w:spacing w:after="0" w:line="240" w:lineRule="auto"/>
        <w:jc w:val="both"/>
      </w:pPr>
    </w:p>
    <w:p w:rsidR="00223B4F" w:rsidRDefault="008D46B8" w:rsidP="00C76116">
      <w:pPr>
        <w:spacing w:after="0" w:line="240" w:lineRule="auto"/>
        <w:jc w:val="both"/>
      </w:pPr>
      <w:r>
        <w:t>T</w:t>
      </w:r>
      <w:r w:rsidR="003D76ED">
        <w:t>he personnel, ORNL staff and post-docs,</w:t>
      </w:r>
      <w:r w:rsidR="00223B4F">
        <w:t xml:space="preserve"> </w:t>
      </w:r>
      <w:r>
        <w:t>working on CAMM in the thir</w:t>
      </w:r>
      <w:r w:rsidR="00223B4F">
        <w:t>d quarter of FY2013</w:t>
      </w:r>
      <w:r w:rsidR="003D76ED">
        <w:t xml:space="preserve"> are as envisaged in the se</w:t>
      </w:r>
      <w:r>
        <w:t>ed proposal. Those working on the CAMM framework</w:t>
      </w:r>
      <w:r w:rsidR="002562C1">
        <w:t>,</w:t>
      </w:r>
      <w:r>
        <w:t xml:space="preserve"> and projects with SNS users</w:t>
      </w:r>
      <w:r w:rsidR="002562C1">
        <w:t>,</w:t>
      </w:r>
      <w:r w:rsidR="003D76ED">
        <w:t xml:space="preserve"> are Mark Hagen (PI), </w:t>
      </w:r>
      <w:r w:rsidR="00382A93">
        <w:t>Jose Borreguero,</w:t>
      </w:r>
      <w:r w:rsidR="003D76ED">
        <w:t xml:space="preserve"> </w:t>
      </w:r>
      <w:r>
        <w:t>Vickie Lynch</w:t>
      </w:r>
      <w:r w:rsidR="003D76ED">
        <w:t xml:space="preserve"> and</w:t>
      </w:r>
      <w:r>
        <w:t xml:space="preserve"> Andrei Savici. </w:t>
      </w:r>
      <w:r w:rsidR="00382A93">
        <w:t>Galen Shipman</w:t>
      </w:r>
      <w:r>
        <w:t xml:space="preserve"> (Co-PI)</w:t>
      </w:r>
      <w:r w:rsidR="006C5B98">
        <w:t xml:space="preserve"> is working on the </w:t>
      </w:r>
      <w:r>
        <w:t>integration with the supercomputer facilities, NERSC and OLCF</w:t>
      </w:r>
      <w:r w:rsidR="003D76ED">
        <w:t xml:space="preserve">. </w:t>
      </w:r>
      <w:r w:rsidR="008867FA">
        <w:t>The project on the polyethylene oxide-acrylic acid system in the second thread is being carried out by</w:t>
      </w:r>
      <w:r w:rsidR="003D76ED">
        <w:t xml:space="preserve"> Bobby Sumpter</w:t>
      </w:r>
      <w:r w:rsidR="008867FA">
        <w:t xml:space="preserve"> (Co-PI)</w:t>
      </w:r>
      <w:r w:rsidR="003D76ED">
        <w:t xml:space="preserve"> and Monojoy Gos</w:t>
      </w:r>
      <w:r w:rsidR="008867FA">
        <w:t xml:space="preserve">wami from the Center for </w:t>
      </w:r>
      <w:proofErr w:type="spellStart"/>
      <w:r w:rsidR="008867FA">
        <w:t>Nanophase</w:t>
      </w:r>
      <w:proofErr w:type="spellEnd"/>
      <w:r w:rsidR="008867FA">
        <w:t xml:space="preserve"> Materials science (CNMS)</w:t>
      </w:r>
      <w:r w:rsidR="003D76ED">
        <w:t>.</w:t>
      </w:r>
    </w:p>
    <w:p w:rsidR="00D5683C" w:rsidRDefault="00D5683C" w:rsidP="00C76116">
      <w:pPr>
        <w:spacing w:after="0" w:line="240" w:lineRule="auto"/>
        <w:jc w:val="both"/>
      </w:pPr>
    </w:p>
    <w:p w:rsidR="00BD6B41" w:rsidRDefault="008867FA" w:rsidP="00C76116">
      <w:pPr>
        <w:spacing w:after="0" w:line="240" w:lineRule="auto"/>
        <w:jc w:val="both"/>
      </w:pPr>
      <w:r>
        <w:t xml:space="preserve">The project on using </w:t>
      </w:r>
      <w:proofErr w:type="spellStart"/>
      <w:r>
        <w:t>ab</w:t>
      </w:r>
      <w:proofErr w:type="spellEnd"/>
      <w:r>
        <w:t>-initio MD to study</w:t>
      </w:r>
      <w:r w:rsidR="00AB43AC">
        <w:t xml:space="preserve"> the electron-</w:t>
      </w:r>
      <w:r>
        <w:t xml:space="preserve">phonon </w:t>
      </w:r>
      <w:r w:rsidR="00AB43AC">
        <w:t>coupling</w:t>
      </w:r>
      <w:r>
        <w:t xml:space="preserve"> in f</w:t>
      </w:r>
      <w:r w:rsidR="00AB43AC">
        <w:t xml:space="preserve">erroelectric oxide </w:t>
      </w:r>
      <w:proofErr w:type="spellStart"/>
      <w:r w:rsidR="00AB43AC">
        <w:t>perovskites</w:t>
      </w:r>
      <w:proofErr w:type="spellEnd"/>
      <w:r w:rsidR="00AB43AC">
        <w:t xml:space="preserve"> </w:t>
      </w:r>
      <w:r>
        <w:t>KTa</w:t>
      </w:r>
      <w:r w:rsidRPr="00A66018">
        <w:rPr>
          <w:vertAlign w:val="subscript"/>
        </w:rPr>
        <w:t>1-x</w:t>
      </w:r>
      <w:r>
        <w:t>Nb</w:t>
      </w:r>
      <w:r w:rsidRPr="00A66018">
        <w:rPr>
          <w:vertAlign w:val="subscript"/>
        </w:rPr>
        <w:t>x</w:t>
      </w:r>
      <w:r>
        <w:t>O</w:t>
      </w:r>
      <w:r w:rsidRPr="00A66018">
        <w:rPr>
          <w:vertAlign w:val="subscript"/>
        </w:rPr>
        <w:t>3</w:t>
      </w:r>
      <w:r>
        <w:t xml:space="preserve"> </w:t>
      </w:r>
      <w:r w:rsidR="00AB43AC">
        <w:t>(</w:t>
      </w:r>
      <w:r>
        <w:t>and BaTiO</w:t>
      </w:r>
      <w:r w:rsidRPr="008867FA">
        <w:rPr>
          <w:vertAlign w:val="subscript"/>
        </w:rPr>
        <w:t>3</w:t>
      </w:r>
      <w:r>
        <w:t xml:space="preserve">) is being carried out by </w:t>
      </w:r>
      <w:r w:rsidR="00382A93">
        <w:t>Olivier Delaire</w:t>
      </w:r>
      <w:r>
        <w:t xml:space="preserve"> (Co-PI) and </w:t>
      </w:r>
      <w:proofErr w:type="spellStart"/>
      <w:r>
        <w:t>Jiawang</w:t>
      </w:r>
      <w:proofErr w:type="spellEnd"/>
      <w:r>
        <w:t xml:space="preserve"> Hong</w:t>
      </w:r>
      <w:r w:rsidR="003D76ED">
        <w:t xml:space="preserve"> from M</w:t>
      </w:r>
      <w:r>
        <w:t>aterials Science and Technology Division (MSTD).</w:t>
      </w:r>
      <w:r w:rsidR="003D76ED">
        <w:t xml:space="preserve"> </w:t>
      </w:r>
      <w:r>
        <w:t xml:space="preserve">As envisaged in the original seed proposal this third thread only began work in the third quarter of FY2013. </w:t>
      </w:r>
      <w:proofErr w:type="spellStart"/>
      <w:r w:rsidR="00200F86">
        <w:t>Jiawang</w:t>
      </w:r>
      <w:proofErr w:type="spellEnd"/>
      <w:r w:rsidR="00200F86">
        <w:t xml:space="preserve"> Hong, </w:t>
      </w:r>
      <w:r>
        <w:t>who had previously worked at Rutgers University with Prof. David Vanderbilt on “First principles studies of ferroelectrics and related materials”, joined ORNL on</w:t>
      </w:r>
      <w:r w:rsidR="00200F86">
        <w:t xml:space="preserve"> 28</w:t>
      </w:r>
      <w:r w:rsidR="00200F86" w:rsidRPr="00200F86">
        <w:rPr>
          <w:vertAlign w:val="superscript"/>
        </w:rPr>
        <w:t>th</w:t>
      </w:r>
      <w:r>
        <w:t xml:space="preserve"> May to work on this part of the CAMM seed project.</w:t>
      </w:r>
    </w:p>
    <w:p w:rsidR="00382A93" w:rsidRDefault="00382A93" w:rsidP="00C76116">
      <w:pPr>
        <w:spacing w:after="0" w:line="240" w:lineRule="auto"/>
      </w:pPr>
    </w:p>
    <w:p w:rsidR="008867FA" w:rsidRDefault="008867FA">
      <w:pPr>
        <w:rPr>
          <w:b/>
        </w:rPr>
      </w:pPr>
      <w:r>
        <w:rPr>
          <w:b/>
        </w:rPr>
        <w:br w:type="page"/>
      </w:r>
    </w:p>
    <w:p w:rsidR="00102D27" w:rsidRPr="00102D27" w:rsidRDefault="00102D27" w:rsidP="00F52F5C">
      <w:pPr>
        <w:spacing w:line="240" w:lineRule="auto"/>
        <w:ind w:left="-90"/>
        <w:rPr>
          <w:b/>
        </w:rPr>
      </w:pPr>
      <w:r w:rsidRPr="00102D27">
        <w:rPr>
          <w:b/>
        </w:rPr>
        <w:lastRenderedPageBreak/>
        <w:t>Detailed Descriptions</w:t>
      </w:r>
      <w:r w:rsidR="00F04BC5">
        <w:rPr>
          <w:b/>
        </w:rPr>
        <w:t xml:space="preserve"> of Progress in Threads One, </w:t>
      </w:r>
      <w:r w:rsidRPr="00102D27">
        <w:rPr>
          <w:b/>
        </w:rPr>
        <w:t>Two</w:t>
      </w:r>
      <w:r w:rsidR="00F04BC5">
        <w:rPr>
          <w:b/>
        </w:rPr>
        <w:t xml:space="preserve"> and Three</w:t>
      </w:r>
      <w:r w:rsidR="00E763A8">
        <w:rPr>
          <w:b/>
        </w:rPr>
        <w:t xml:space="preserve"> of CAMM</w:t>
      </w:r>
    </w:p>
    <w:p w:rsidR="00367F7A" w:rsidRDefault="00E763A8" w:rsidP="00F52F5C">
      <w:pPr>
        <w:spacing w:after="0" w:line="240" w:lineRule="auto"/>
        <w:ind w:left="-90"/>
        <w:jc w:val="both"/>
        <w:rPr>
          <w:b/>
        </w:rPr>
      </w:pPr>
      <w:r>
        <w:t>The following</w:t>
      </w:r>
      <w:r w:rsidR="00102D27">
        <w:t xml:space="preserve"> sections give descriptions</w:t>
      </w:r>
      <w:r w:rsidR="003D7D58">
        <w:t xml:space="preserve"> of the work done in thread one – t</w:t>
      </w:r>
      <w:r w:rsidR="00102D27">
        <w:t>he development of the refinem</w:t>
      </w:r>
      <w:r w:rsidR="00F04BC5">
        <w:t>ent software and workflows,</w:t>
      </w:r>
      <w:r w:rsidR="002562C1">
        <w:t xml:space="preserve"> and the SNS user projects, (sections 1.0 → 1.3);</w:t>
      </w:r>
      <w:r w:rsidR="00F04BC5">
        <w:t xml:space="preserve"> </w:t>
      </w:r>
      <w:r w:rsidR="003D7D58">
        <w:t>in thread two – t</w:t>
      </w:r>
      <w:r w:rsidR="00102D27">
        <w:t>he simulations of the Polyethylene Oxide-A</w:t>
      </w:r>
      <w:r w:rsidR="002562C1">
        <w:t>crylic Acid system;</w:t>
      </w:r>
      <w:r w:rsidR="00F04BC5">
        <w:t xml:space="preserve"> and </w:t>
      </w:r>
      <w:r w:rsidR="002562C1">
        <w:t>in thread three the simulations of the electron-phonon coupling and soft modes in ferroelectrics</w:t>
      </w:r>
      <w:r w:rsidR="00102D27">
        <w:t>.</w:t>
      </w:r>
    </w:p>
    <w:p w:rsidR="00367F7A" w:rsidRDefault="00367F7A" w:rsidP="00D5683C">
      <w:pPr>
        <w:spacing w:line="240" w:lineRule="auto"/>
        <w:jc w:val="both"/>
        <w:rPr>
          <w:b/>
        </w:rPr>
      </w:pPr>
    </w:p>
    <w:p w:rsidR="00102D27" w:rsidRPr="00367F7A" w:rsidRDefault="002562C1" w:rsidP="00F52F5C">
      <w:pPr>
        <w:spacing w:line="240" w:lineRule="auto"/>
        <w:ind w:left="-90"/>
        <w:jc w:val="both"/>
      </w:pPr>
      <w:bookmarkStart w:id="0" w:name="_GoBack"/>
      <w:bookmarkEnd w:id="0"/>
      <w:r>
        <w:rPr>
          <w:b/>
        </w:rPr>
        <w:t xml:space="preserve">1.0 </w:t>
      </w:r>
      <w:r w:rsidR="00CF1DBE" w:rsidRPr="00CF1DBE">
        <w:rPr>
          <w:b/>
        </w:rPr>
        <w:t xml:space="preserve">Development of </w:t>
      </w:r>
      <w:r w:rsidR="00DF1434">
        <w:rPr>
          <w:b/>
        </w:rPr>
        <w:t xml:space="preserve">the </w:t>
      </w:r>
      <w:r w:rsidR="00CF1DBE" w:rsidRPr="00CF1DBE">
        <w:rPr>
          <w:b/>
        </w:rPr>
        <w:t>Refinement Software and Workflows</w:t>
      </w:r>
    </w:p>
    <w:p w:rsidR="00554473" w:rsidRDefault="00225E95" w:rsidP="00C2584D">
      <w:pPr>
        <w:ind w:left="-90"/>
      </w:pPr>
      <w:r>
        <w:t xml:space="preserve">CAMM staff: </w:t>
      </w:r>
      <w:r w:rsidR="00554473">
        <w:t>Vickie Lynch, Jose Borreguero, Mark Hagen, Andrei Savici, Galen Shipman</w:t>
      </w:r>
    </w:p>
    <w:p w:rsidR="00C2584D" w:rsidRDefault="00440E6D" w:rsidP="00440E6D">
      <w:pPr>
        <w:spacing w:after="0" w:line="240" w:lineRule="auto"/>
        <w:ind w:left="-86"/>
        <w:jc w:val="both"/>
      </w:pPr>
      <w:r>
        <w:t>At the outset of the third quarter FY2013 a number of</w:t>
      </w:r>
      <w:r w:rsidR="00C2584D">
        <w:t xml:space="preserve"> improvements were made to the</w:t>
      </w:r>
      <w:r>
        <w:t xml:space="preserve"> calculation of the derivatives provided to DAKOTA</w:t>
      </w:r>
      <w:r w:rsidR="00213653">
        <w:t xml:space="preserve"> </w:t>
      </w:r>
      <w:r>
        <w:t>[1] for the refinement</w:t>
      </w:r>
      <w:r w:rsidR="00C2584D">
        <w:t xml:space="preserve"> of the </w:t>
      </w:r>
      <w:r>
        <w:t xml:space="preserve">simulation model which lead to the </w:t>
      </w:r>
      <w:proofErr w:type="spellStart"/>
      <w:r>
        <w:t>Levenberg</w:t>
      </w:r>
      <w:proofErr w:type="spellEnd"/>
      <w:r>
        <w:t xml:space="preserve">-Marquardt optimization method </w:t>
      </w:r>
      <w:r>
        <w:t xml:space="preserve">provided in DAKOTA working very well for our test case, a </w:t>
      </w:r>
      <w:r w:rsidR="00C2584D">
        <w:t xml:space="preserve">NAMD model for </w:t>
      </w:r>
      <w:r>
        <w:t xml:space="preserve">aqueous </w:t>
      </w:r>
      <w:proofErr w:type="spellStart"/>
      <w:r>
        <w:t>LiCl</w:t>
      </w:r>
      <w:proofErr w:type="spellEnd"/>
      <w:r>
        <w:t xml:space="preserve"> compared to experimental</w:t>
      </w:r>
      <w:r w:rsidR="00C2584D">
        <w:t xml:space="preserve"> data</w:t>
      </w:r>
      <w:r>
        <w:t xml:space="preserve"> taken on the BASIS beam line at SNS</w:t>
      </w:r>
      <w:r w:rsidR="00C2584D">
        <w:t xml:space="preserve">. Starting from the value predicted by the three point charge model for </w:t>
      </w:r>
      <w:r w:rsidR="00213653">
        <w:t xml:space="preserve">purer </w:t>
      </w:r>
      <w:r w:rsidR="00C2584D">
        <w:t>water</w:t>
      </w:r>
      <w:r w:rsidR="00213653">
        <w:t xml:space="preserve"> [2]</w:t>
      </w:r>
      <w:r w:rsidR="00C2584D">
        <w:t xml:space="preserve">, </w:t>
      </w:r>
      <w:r w:rsidR="00213653">
        <w:t xml:space="preserve">the </w:t>
      </w:r>
      <w:proofErr w:type="spellStart"/>
      <w:r w:rsidR="00C2584D">
        <w:t>Levenberg</w:t>
      </w:r>
      <w:proofErr w:type="spellEnd"/>
      <w:r w:rsidR="00C2584D">
        <w:t xml:space="preserve">-Marquardt converged in two </w:t>
      </w:r>
      <w:r w:rsidR="00213653">
        <w:t>to three iterations to the best fit value that we had found from our manual fitting in the first quarter FY2013</w:t>
      </w:r>
      <w:r w:rsidR="00C2584D">
        <w:t>. The optimized model results are shown in figure 1.</w:t>
      </w:r>
      <w:r w:rsidR="00213653">
        <w:t xml:space="preserve"> </w:t>
      </w:r>
    </w:p>
    <w:p w:rsidR="00BC1A1B" w:rsidRDefault="00BC1A1B" w:rsidP="00225E95">
      <w:pPr>
        <w:spacing w:after="0" w:line="240" w:lineRule="auto"/>
        <w:ind w:left="-86"/>
        <w:jc w:val="both"/>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717C45" w:rsidTr="00717C45">
        <w:tc>
          <w:tcPr>
            <w:tcW w:w="5148" w:type="dxa"/>
            <w:vAlign w:val="bottom"/>
          </w:tcPr>
          <w:p w:rsidR="00717C45" w:rsidRDefault="00BC1A1B" w:rsidP="00BC1A1B">
            <w:pPr>
              <w:jc w:val="center"/>
            </w:pPr>
            <w:r w:rsidRPr="00FC57DE">
              <w:rPr>
                <w:noProof/>
              </w:rPr>
              <w:drawing>
                <wp:inline distT="0" distB="0" distL="0" distR="0" wp14:anchorId="7BC545BD" wp14:editId="5A117027">
                  <wp:extent cx="2727174" cy="2075260"/>
                  <wp:effectExtent l="0" t="0" r="0" b="7620"/>
                  <wp:docPr id="3" name="Picture 3" descr="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Q5.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27174" cy="2075260"/>
                          </a:xfrm>
                          <a:prstGeom prst="rect">
                            <a:avLst/>
                          </a:prstGeom>
                        </pic:spPr>
                      </pic:pic>
                    </a:graphicData>
                  </a:graphic>
                </wp:inline>
              </w:drawing>
            </w:r>
          </w:p>
        </w:tc>
        <w:tc>
          <w:tcPr>
            <w:tcW w:w="5148" w:type="dxa"/>
          </w:tcPr>
          <w:p w:rsidR="00717C45" w:rsidRDefault="00BC1A1B" w:rsidP="00717C45">
            <w:pPr>
              <w:jc w:val="center"/>
            </w:pPr>
            <w:r w:rsidRPr="00FC57DE">
              <w:rPr>
                <w:noProof/>
              </w:rPr>
              <w:drawing>
                <wp:inline distT="0" distB="0" distL="0" distR="0" wp14:anchorId="74115D5C" wp14:editId="5937964B">
                  <wp:extent cx="2727174" cy="2075260"/>
                  <wp:effectExtent l="0" t="0" r="0" b="7620"/>
                  <wp:docPr id="5" name="Picture 4" descr="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Q7.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27174" cy="2075260"/>
                          </a:xfrm>
                          <a:prstGeom prst="rect">
                            <a:avLst/>
                          </a:prstGeom>
                        </pic:spPr>
                      </pic:pic>
                    </a:graphicData>
                  </a:graphic>
                </wp:inline>
              </w:drawing>
            </w:r>
          </w:p>
        </w:tc>
      </w:tr>
      <w:tr w:rsidR="00717C45" w:rsidTr="00717C45">
        <w:tc>
          <w:tcPr>
            <w:tcW w:w="5148" w:type="dxa"/>
          </w:tcPr>
          <w:p w:rsidR="00BC1A1B" w:rsidRDefault="00BC1A1B" w:rsidP="00BC1A1B"/>
          <w:p w:rsidR="00717C45" w:rsidRDefault="00BC1A1B" w:rsidP="00BC1A1B">
            <w:r>
              <w:t xml:space="preserve">Figure 1: Experimental data at </w:t>
            </w:r>
            <w:proofErr w:type="spellStart"/>
            <w:r>
              <w:t>wavevectors</w:t>
            </w:r>
            <w:proofErr w:type="spellEnd"/>
            <w:r>
              <w:t xml:space="preserve"> Q=0.5, 0.7, and 0.9 Å</w:t>
            </w:r>
            <w:r w:rsidRPr="00717C45">
              <w:rPr>
                <w:vertAlign w:val="superscript"/>
              </w:rPr>
              <w:t>-1</w:t>
            </w:r>
            <w:r>
              <w:t xml:space="preserve"> from an experiment on aqueous </w:t>
            </w:r>
            <w:proofErr w:type="spellStart"/>
            <w:r>
              <w:t>LiCL</w:t>
            </w:r>
            <w:proofErr w:type="spellEnd"/>
            <w:r>
              <w:t xml:space="preserve"> carried out on the BASIS spectrometer at SNS compared to results from an optimized NAMD simulation.</w:t>
            </w:r>
          </w:p>
        </w:tc>
        <w:tc>
          <w:tcPr>
            <w:tcW w:w="5148" w:type="dxa"/>
          </w:tcPr>
          <w:p w:rsidR="00717C45" w:rsidRDefault="00717C45" w:rsidP="00717C45">
            <w:pPr>
              <w:jc w:val="center"/>
            </w:pPr>
            <w:r w:rsidRPr="00FC57DE">
              <w:rPr>
                <w:noProof/>
              </w:rPr>
              <w:drawing>
                <wp:inline distT="0" distB="0" distL="0" distR="0" wp14:anchorId="090F4CBA" wp14:editId="2AFF3E09">
                  <wp:extent cx="2727174" cy="2075260"/>
                  <wp:effectExtent l="0" t="0" r="0" b="7620"/>
                  <wp:docPr id="6" name="Picture 5" descr="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Q9.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27174" cy="2075260"/>
                          </a:xfrm>
                          <a:prstGeom prst="rect">
                            <a:avLst/>
                          </a:prstGeom>
                        </pic:spPr>
                      </pic:pic>
                    </a:graphicData>
                  </a:graphic>
                </wp:inline>
              </w:drawing>
            </w:r>
          </w:p>
        </w:tc>
      </w:tr>
    </w:tbl>
    <w:p w:rsidR="00BC1A1B" w:rsidRDefault="00BC1A1B" w:rsidP="00BC1A1B">
      <w:pPr>
        <w:spacing w:after="0" w:line="240" w:lineRule="auto"/>
      </w:pPr>
    </w:p>
    <w:p w:rsidR="00213653" w:rsidRDefault="00213653" w:rsidP="00BC1A1B">
      <w:pPr>
        <w:spacing w:after="0" w:line="240" w:lineRule="auto"/>
        <w:ind w:left="-86"/>
      </w:pPr>
      <w:r>
        <w:t xml:space="preserve">We note that each “iteration” in the refinement consists of submitting (2 x </w:t>
      </w:r>
      <w:proofErr w:type="spellStart"/>
      <w:r>
        <w:t>np</w:t>
      </w:r>
      <w:proofErr w:type="spellEnd"/>
      <w:r>
        <w:t xml:space="preserve"> + 1) simulations t</w:t>
      </w:r>
      <w:r w:rsidR="00E274A5">
        <w:t xml:space="preserve">o the supercomputer/cluster performing the simulations and then submitting (2 x </w:t>
      </w:r>
      <w:proofErr w:type="spellStart"/>
      <w:r w:rsidR="00E274A5">
        <w:t>np</w:t>
      </w:r>
      <w:proofErr w:type="spellEnd"/>
      <w:r w:rsidR="00E274A5">
        <w:t xml:space="preserve"> + 1) calculations of the dynamic structure factor </w:t>
      </w:r>
      <w:proofErr w:type="gramStart"/>
      <w:r w:rsidR="00E274A5">
        <w:t>S(</w:t>
      </w:r>
      <w:proofErr w:type="gramEnd"/>
      <w:r w:rsidR="00E274A5">
        <w:rPr>
          <w:b/>
        </w:rPr>
        <w:t>Q</w:t>
      </w:r>
      <w:r w:rsidR="00E274A5">
        <w:t xml:space="preserve">,E) from the simulation trajectories where </w:t>
      </w:r>
      <w:proofErr w:type="spellStart"/>
      <w:r w:rsidR="00E274A5">
        <w:t>np</w:t>
      </w:r>
      <w:proofErr w:type="spellEnd"/>
      <w:r w:rsidR="00E274A5">
        <w:t xml:space="preserve"> is the number of variable parameters in the </w:t>
      </w:r>
      <w:r w:rsidR="00E274A5">
        <w:lastRenderedPageBreak/>
        <w:t>force field model. If the capacity of the supercomputer/cluster is able to run these simulations simultaneously then the results will only take as long as one simulation.</w:t>
      </w:r>
    </w:p>
    <w:p w:rsidR="00213653" w:rsidRDefault="00213653" w:rsidP="00BC1A1B">
      <w:pPr>
        <w:spacing w:after="0" w:line="240" w:lineRule="auto"/>
        <w:ind w:left="-86"/>
      </w:pPr>
    </w:p>
    <w:p w:rsidR="00BC1A1B" w:rsidRDefault="00E274A5" w:rsidP="00536EA3">
      <w:pPr>
        <w:spacing w:after="0" w:line="240" w:lineRule="auto"/>
        <w:ind w:left="-86"/>
      </w:pPr>
      <w:r>
        <w:t>The</w:t>
      </w:r>
      <w:r w:rsidR="00BC1A1B">
        <w:t xml:space="preserve"> </w:t>
      </w:r>
      <w:r>
        <w:t>submission of these remote jobs is controlled</w:t>
      </w:r>
      <w:r w:rsidR="00BC1A1B">
        <w:t xml:space="preserve"> by the </w:t>
      </w:r>
      <w:proofErr w:type="spellStart"/>
      <w:r w:rsidR="00BC1A1B">
        <w:t>Kepler</w:t>
      </w:r>
      <w:proofErr w:type="spellEnd"/>
      <w:r>
        <w:t xml:space="preserve"> [3] workflow</w:t>
      </w:r>
      <w:r w:rsidR="00536EA3" w:rsidRPr="00536EA3">
        <w:t xml:space="preserve"> </w:t>
      </w:r>
      <w:r w:rsidR="00536EA3">
        <w:t>(s</w:t>
      </w:r>
      <w:r w:rsidR="00536EA3">
        <w:t xml:space="preserve">ee figure 2 for a view of a few levels of the workflow and figure 3 for a view </w:t>
      </w:r>
      <w:r w:rsidR="00536EA3">
        <w:t xml:space="preserve">of the graphical user interface). </w:t>
      </w:r>
      <w:r>
        <w:t>T</w:t>
      </w:r>
      <w:r w:rsidR="00BC1A1B">
        <w:t xml:space="preserve">he testing </w:t>
      </w:r>
      <w:r>
        <w:t xml:space="preserve">in </w:t>
      </w:r>
      <w:r w:rsidR="00AC51C3">
        <w:t>quarter’s</w:t>
      </w:r>
      <w:r>
        <w:t xml:space="preserve"> one and two</w:t>
      </w:r>
      <w:r w:rsidR="00536EA3">
        <w:t xml:space="preserve"> FY2013</w:t>
      </w:r>
      <w:r>
        <w:t xml:space="preserve"> </w:t>
      </w:r>
      <w:r w:rsidR="00BC1A1B">
        <w:t xml:space="preserve">was done on a 192 core cluster at </w:t>
      </w:r>
      <w:r>
        <w:t xml:space="preserve">the SNS, </w:t>
      </w:r>
      <w:proofErr w:type="gramStart"/>
      <w:r w:rsidRPr="00E274A5">
        <w:rPr>
          <w:i/>
        </w:rPr>
        <w:t>chadwick.</w:t>
      </w:r>
      <w:r>
        <w:rPr>
          <w:i/>
        </w:rPr>
        <w:t>sns.gov</w:t>
      </w:r>
      <w:r>
        <w:t>,</w:t>
      </w:r>
      <w:proofErr w:type="gramEnd"/>
      <w:r>
        <w:t xml:space="preserve"> however</w:t>
      </w:r>
      <w:r w:rsidR="00BC1A1B">
        <w:t xml:space="preserve"> we </w:t>
      </w:r>
      <w:r>
        <w:t>have now reru</w:t>
      </w:r>
      <w:r w:rsidR="00BC1A1B">
        <w:t>n the same simulation</w:t>
      </w:r>
      <w:r>
        <w:t>s</w:t>
      </w:r>
      <w:r w:rsidR="00BC1A1B">
        <w:t xml:space="preserve"> remotely on </w:t>
      </w:r>
      <w:r>
        <w:t xml:space="preserve">the </w:t>
      </w:r>
      <w:r w:rsidR="00BC1A1B">
        <w:t>Hopper (Cray XE6)</w:t>
      </w:r>
      <w:r>
        <w:t xml:space="preserve"> supercomputer</w:t>
      </w:r>
      <w:r w:rsidR="00BC1A1B">
        <w:t xml:space="preserve"> at NERSC from the </w:t>
      </w:r>
      <w:r w:rsidR="00536EA3">
        <w:t xml:space="preserve">same </w:t>
      </w:r>
      <w:proofErr w:type="spellStart"/>
      <w:r>
        <w:t>Kepler</w:t>
      </w:r>
      <w:proofErr w:type="spellEnd"/>
      <w:r>
        <w:t xml:space="preserve"> workflow running on a workstation </w:t>
      </w:r>
      <w:r w:rsidRPr="00536EA3">
        <w:rPr>
          <w:i/>
        </w:rPr>
        <w:t>camm-test.sns.gov</w:t>
      </w:r>
      <w:r w:rsidR="00536EA3">
        <w:t xml:space="preserve"> at the SNS, and obtained</w:t>
      </w:r>
      <w:r w:rsidR="00BC1A1B">
        <w:t xml:space="preserve"> the same optimized results.  </w:t>
      </w:r>
      <w:r w:rsidR="00536EA3">
        <w:t xml:space="preserve">We </w:t>
      </w:r>
      <w:r w:rsidR="00ED5B09">
        <w:t>a</w:t>
      </w:r>
      <w:r w:rsidR="00536EA3">
        <w:t>re currently working with staff from the OLCF to obtain an approved cyber-security plan that would allow us to do the same to the</w:t>
      </w:r>
      <w:r w:rsidR="00BC1A1B">
        <w:t xml:space="preserve"> Titan (Cray XK7)</w:t>
      </w:r>
      <w:r w:rsidR="00ED5B09">
        <w:t xml:space="preserve"> supercomputer</w:t>
      </w:r>
      <w:r w:rsidR="00BC1A1B">
        <w:t xml:space="preserve"> at Oak Ridge National Labor</w:t>
      </w:r>
      <w:r w:rsidR="00536EA3">
        <w:t>atory</w:t>
      </w:r>
      <w:r w:rsidR="00BC1A1B">
        <w:t>.</w:t>
      </w:r>
    </w:p>
    <w:p w:rsidR="00225E95" w:rsidRDefault="00225E95" w:rsidP="00AC51C3">
      <w:pPr>
        <w:spacing w:after="0" w:line="240" w:lineRule="auto"/>
      </w:pPr>
    </w:p>
    <w:tbl>
      <w:tblPr>
        <w:tblStyle w:val="TableGrid"/>
        <w:tblW w:w="0" w:type="auto"/>
        <w:tblInd w:w="-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4"/>
        <w:gridCol w:w="4248"/>
      </w:tblGrid>
      <w:tr w:rsidR="00225E95" w:rsidTr="00225E95">
        <w:tc>
          <w:tcPr>
            <w:tcW w:w="6134" w:type="dxa"/>
          </w:tcPr>
          <w:p w:rsidR="00225E95" w:rsidRDefault="00225E95" w:rsidP="00225E95">
            <w:pPr>
              <w:jc w:val="center"/>
            </w:pPr>
            <w:r>
              <w:rPr>
                <w:noProof/>
              </w:rPr>
              <w:drawing>
                <wp:inline distT="0" distB="0" distL="0" distR="0" wp14:anchorId="56117E57" wp14:editId="7828B462">
                  <wp:extent cx="3624968" cy="2154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4968" cy="2154423"/>
                          </a:xfrm>
                          <a:prstGeom prst="rect">
                            <a:avLst/>
                          </a:prstGeom>
                        </pic:spPr>
                      </pic:pic>
                    </a:graphicData>
                  </a:graphic>
                </wp:inline>
              </w:drawing>
            </w:r>
          </w:p>
          <w:p w:rsidR="00225E95" w:rsidRPr="00225E95" w:rsidRDefault="00225E95" w:rsidP="00225E95">
            <w:pPr>
              <w:rPr>
                <w:sz w:val="20"/>
                <w:szCs w:val="20"/>
              </w:rPr>
            </w:pPr>
            <w:r w:rsidRPr="00225E95">
              <w:rPr>
                <w:sz w:val="20"/>
                <w:szCs w:val="20"/>
              </w:rPr>
              <w:t xml:space="preserve">Figure </w:t>
            </w:r>
            <w:r w:rsidR="00B100FD">
              <w:rPr>
                <w:sz w:val="20"/>
                <w:szCs w:val="20"/>
              </w:rPr>
              <w:t>2</w:t>
            </w:r>
            <w:r w:rsidRPr="00225E95">
              <w:rPr>
                <w:sz w:val="20"/>
                <w:szCs w:val="20"/>
              </w:rPr>
              <w:t xml:space="preserve">: </w:t>
            </w:r>
            <w:proofErr w:type="spellStart"/>
            <w:r w:rsidRPr="00225E95">
              <w:rPr>
                <w:sz w:val="20"/>
                <w:szCs w:val="20"/>
              </w:rPr>
              <w:t>Kepler</w:t>
            </w:r>
            <w:proofErr w:type="spellEnd"/>
            <w:r w:rsidRPr="00225E95">
              <w:rPr>
                <w:sz w:val="20"/>
                <w:szCs w:val="20"/>
              </w:rPr>
              <w:t xml:space="preserve"> workflow used to submit remote jobs, check </w:t>
            </w:r>
            <w:proofErr w:type="spellStart"/>
            <w:r w:rsidRPr="00225E95">
              <w:rPr>
                <w:sz w:val="20"/>
                <w:szCs w:val="20"/>
              </w:rPr>
              <w:t>ActiveMQ</w:t>
            </w:r>
            <w:proofErr w:type="spellEnd"/>
            <w:r w:rsidRPr="00225E95">
              <w:rPr>
                <w:sz w:val="20"/>
                <w:szCs w:val="20"/>
              </w:rPr>
              <w:t xml:space="preserve"> queues, and calculate goodness of fit using input parameters from Dakota.</w:t>
            </w:r>
          </w:p>
        </w:tc>
        <w:tc>
          <w:tcPr>
            <w:tcW w:w="4248" w:type="dxa"/>
          </w:tcPr>
          <w:p w:rsidR="00225E95" w:rsidRDefault="00225E95" w:rsidP="00225E95">
            <w:pPr>
              <w:jc w:val="center"/>
            </w:pPr>
          </w:p>
          <w:p w:rsidR="00225E95" w:rsidRDefault="00225E95" w:rsidP="00225E95">
            <w:pPr>
              <w:jc w:val="center"/>
            </w:pPr>
            <w:r w:rsidRPr="00FC57DE">
              <w:rPr>
                <w:noProof/>
              </w:rPr>
              <w:drawing>
                <wp:inline distT="0" distB="0" distL="0" distR="0" wp14:anchorId="4C9CF934" wp14:editId="3D11256B">
                  <wp:extent cx="2364360" cy="1929789"/>
                  <wp:effectExtent l="0" t="0" r="0" b="0"/>
                  <wp:docPr id="11" name="Picture 6" descr="kepler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kepler_gui.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6002" cy="1931129"/>
                          </a:xfrm>
                          <a:prstGeom prst="rect">
                            <a:avLst/>
                          </a:prstGeom>
                        </pic:spPr>
                      </pic:pic>
                    </a:graphicData>
                  </a:graphic>
                </wp:inline>
              </w:drawing>
            </w:r>
          </w:p>
          <w:p w:rsidR="00225E95" w:rsidRPr="00225E95" w:rsidRDefault="00B100FD" w:rsidP="00225E95">
            <w:pPr>
              <w:spacing w:line="276" w:lineRule="auto"/>
              <w:rPr>
                <w:sz w:val="20"/>
                <w:szCs w:val="20"/>
              </w:rPr>
            </w:pPr>
            <w:r>
              <w:rPr>
                <w:sz w:val="20"/>
                <w:szCs w:val="20"/>
              </w:rPr>
              <w:t>Figure 3</w:t>
            </w:r>
            <w:r w:rsidR="00225E95" w:rsidRPr="00225E95">
              <w:rPr>
                <w:sz w:val="20"/>
                <w:szCs w:val="20"/>
              </w:rPr>
              <w:t xml:space="preserve">: Graphical User interface of </w:t>
            </w:r>
            <w:proofErr w:type="spellStart"/>
            <w:r w:rsidR="00225E95" w:rsidRPr="00225E95">
              <w:rPr>
                <w:sz w:val="20"/>
                <w:szCs w:val="20"/>
              </w:rPr>
              <w:t>Kepler</w:t>
            </w:r>
            <w:proofErr w:type="spellEnd"/>
            <w:r w:rsidR="00225E95" w:rsidRPr="00225E95">
              <w:rPr>
                <w:sz w:val="20"/>
                <w:szCs w:val="20"/>
              </w:rPr>
              <w:t xml:space="preserve"> workflow for simulations.</w:t>
            </w:r>
          </w:p>
        </w:tc>
      </w:tr>
    </w:tbl>
    <w:p w:rsidR="00AC51C3" w:rsidRDefault="00AC51C3" w:rsidP="00AC51C3">
      <w:pPr>
        <w:spacing w:after="0" w:line="240" w:lineRule="auto"/>
        <w:ind w:left="-86"/>
      </w:pPr>
    </w:p>
    <w:p w:rsidR="00AC51C3" w:rsidRDefault="00AC51C3" w:rsidP="00AC51C3">
      <w:pPr>
        <w:spacing w:after="0" w:line="240" w:lineRule="auto"/>
        <w:ind w:left="-86"/>
      </w:pPr>
      <w:r>
        <w:t xml:space="preserve">We have also modified the workflow so that the </w:t>
      </w:r>
      <w:proofErr w:type="spellStart"/>
      <w:r>
        <w:t>ActiveMQ</w:t>
      </w:r>
      <w:proofErr w:type="spellEnd"/>
      <w:r>
        <w:t xml:space="preserve"> messaging system</w:t>
      </w:r>
      <w:r>
        <w:t xml:space="preserve"> now controls the interactions between Dakota and </w:t>
      </w:r>
      <w:proofErr w:type="spellStart"/>
      <w:r>
        <w:t>Kepler</w:t>
      </w:r>
      <w:proofErr w:type="spellEnd"/>
      <w:r>
        <w:t>. This will allow us to display a live progress report on the refinement for CAMM users. We have also converted our codes so that the output is in an HDF5 (</w:t>
      </w:r>
      <w:proofErr w:type="spellStart"/>
      <w:r>
        <w:t>NeXus</w:t>
      </w:r>
      <w:proofErr w:type="spellEnd"/>
      <w:r>
        <w:t>) output format that contains meta-data describing the relevant simulation and experimental parameters. This will allow the simulation files to be catalogued in the same way that the SNS experimental data is catalogued.</w:t>
      </w:r>
    </w:p>
    <w:p w:rsidR="00AC51C3" w:rsidRDefault="00AC51C3" w:rsidP="00AC51C3">
      <w:pPr>
        <w:spacing w:after="0" w:line="240" w:lineRule="auto"/>
        <w:ind w:left="-86"/>
      </w:pPr>
    </w:p>
    <w:p w:rsidR="00AC51C3" w:rsidRDefault="00AC51C3" w:rsidP="00AC51C3">
      <w:pPr>
        <w:spacing w:after="0" w:line="240" w:lineRule="auto"/>
        <w:ind w:left="-86"/>
      </w:pPr>
      <w:r>
        <w:t xml:space="preserve">In the third quarter we also procured a server computer, </w:t>
      </w:r>
      <w:proofErr w:type="gramStart"/>
      <w:r w:rsidRPr="00AC51C3">
        <w:rPr>
          <w:i/>
        </w:rPr>
        <w:t>camm.sns.gov,</w:t>
      </w:r>
      <w:r>
        <w:t xml:space="preserve"> that</w:t>
      </w:r>
      <w:proofErr w:type="gramEnd"/>
      <w:r>
        <w:t xml:space="preserve"> will act as the login node for users of the CAMM software. It will run the DAKOTA and </w:t>
      </w:r>
      <w:proofErr w:type="spellStart"/>
      <w:r>
        <w:t>Kepler</w:t>
      </w:r>
      <w:proofErr w:type="spellEnd"/>
      <w:r>
        <w:t xml:space="preserve"> workflows, while the simulation jobs will be submitted to the clusters and supercomputers. This server arrived at the end of the third quarter.</w:t>
      </w:r>
    </w:p>
    <w:p w:rsidR="00B100FD" w:rsidRDefault="00B100FD" w:rsidP="00AC51C3">
      <w:pPr>
        <w:spacing w:after="0" w:line="240" w:lineRule="auto"/>
        <w:ind w:left="-86"/>
      </w:pPr>
    </w:p>
    <w:p w:rsidR="00AC51C3" w:rsidRDefault="00AC51C3" w:rsidP="00AC51C3">
      <w:pPr>
        <w:spacing w:after="0" w:line="240" w:lineRule="auto"/>
        <w:ind w:left="-86"/>
      </w:pPr>
      <w:r>
        <w:t xml:space="preserve"> </w:t>
      </w:r>
    </w:p>
    <w:p w:rsidR="00AC51C3" w:rsidRDefault="002562C1" w:rsidP="00AC51C3">
      <w:pPr>
        <w:pStyle w:val="ListParagraph"/>
        <w:numPr>
          <w:ilvl w:val="1"/>
          <w:numId w:val="6"/>
        </w:numPr>
        <w:spacing w:after="0" w:line="240" w:lineRule="auto"/>
      </w:pPr>
      <w:proofErr w:type="spellStart"/>
      <w:r w:rsidRPr="00AC51C3">
        <w:rPr>
          <w:b/>
          <w:sz w:val="24"/>
        </w:rPr>
        <w:t>Octa</w:t>
      </w:r>
      <w:proofErr w:type="spellEnd"/>
      <w:r w:rsidRPr="00AC51C3">
        <w:rPr>
          <w:b/>
          <w:sz w:val="24"/>
        </w:rPr>
        <w:t>-Methyl-</w:t>
      </w:r>
      <w:proofErr w:type="spellStart"/>
      <w:r w:rsidRPr="00AC51C3">
        <w:rPr>
          <w:b/>
          <w:sz w:val="24"/>
        </w:rPr>
        <w:t>Silse</w:t>
      </w:r>
      <w:r w:rsidR="00BC573C" w:rsidRPr="00AC51C3">
        <w:rPr>
          <w:b/>
          <w:sz w:val="24"/>
        </w:rPr>
        <w:t>squioxane</w:t>
      </w:r>
      <w:proofErr w:type="spellEnd"/>
    </w:p>
    <w:p w:rsidR="00AC51C3" w:rsidRDefault="00AC51C3" w:rsidP="00AC51C3">
      <w:pPr>
        <w:spacing w:after="0" w:line="240" w:lineRule="auto"/>
        <w:ind w:left="-86"/>
      </w:pPr>
    </w:p>
    <w:p w:rsidR="00AC51C3" w:rsidRDefault="002562C1" w:rsidP="00AC51C3">
      <w:pPr>
        <w:spacing w:after="0" w:line="240" w:lineRule="auto"/>
        <w:ind w:left="-86"/>
      </w:pPr>
      <w:r>
        <w:t xml:space="preserve">SNS Users: </w:t>
      </w:r>
      <w:r w:rsidR="006151F7">
        <w:t>Michael Crawford (</w:t>
      </w:r>
      <w:proofErr w:type="spellStart"/>
      <w:r w:rsidR="006151F7">
        <w:t>Dupont</w:t>
      </w:r>
      <w:proofErr w:type="spellEnd"/>
      <w:r w:rsidR="006151F7">
        <w:t>) and Niina Jalarvo (</w:t>
      </w:r>
      <w:proofErr w:type="spellStart"/>
      <w:r w:rsidR="006151F7">
        <w:t>Julich</w:t>
      </w:r>
      <w:proofErr w:type="spellEnd"/>
      <w:r w:rsidR="006151F7">
        <w:t>)</w:t>
      </w:r>
      <w:r>
        <w:t xml:space="preserve"> – BASIS and CNCS experiments</w:t>
      </w:r>
      <w:r>
        <w:br/>
        <w:t>CAMM contacts: Jose Borreguero and Mark Hagen</w:t>
      </w:r>
    </w:p>
    <w:p w:rsidR="00AC51C3" w:rsidRDefault="00AC51C3" w:rsidP="00AC51C3">
      <w:pPr>
        <w:spacing w:after="0" w:line="240" w:lineRule="auto"/>
        <w:ind w:left="-86"/>
      </w:pPr>
    </w:p>
    <w:p w:rsidR="00AC538C" w:rsidRDefault="00AC538C" w:rsidP="00AC51C3">
      <w:pPr>
        <w:spacing w:after="0" w:line="240" w:lineRule="auto"/>
        <w:ind w:left="-86"/>
      </w:pPr>
      <w:r>
        <w:t xml:space="preserve">Polyhedral </w:t>
      </w:r>
      <w:proofErr w:type="spellStart"/>
      <w:r>
        <w:t>oligomeric</w:t>
      </w:r>
      <w:proofErr w:type="spellEnd"/>
      <w:r>
        <w:t xml:space="preserve"> </w:t>
      </w:r>
      <w:proofErr w:type="spellStart"/>
      <w:r>
        <w:t>silsesquioxanes</w:t>
      </w:r>
      <w:proofErr w:type="spellEnd"/>
      <w:r>
        <w:t xml:space="preserve"> (POSS) are silicon-based molecules with a backbone consisting of a cage-like structure that can be decorated with a variety of functional groups. Due to this variability, POSS molecules have found applications as support and specialized environments for catalysis, as semiconductors or insulators, and as impurities to modulate the rheology properties of polymeric materials. </w:t>
      </w:r>
      <w:proofErr w:type="spellStart"/>
      <w:r>
        <w:t>MePOSS</w:t>
      </w:r>
      <w:proofErr w:type="spellEnd"/>
      <w:r>
        <w:t xml:space="preserve"> contains methyl groups </w:t>
      </w:r>
      <w:r>
        <w:lastRenderedPageBreak/>
        <w:t xml:space="preserve">that decorate the backbone of the molecule. In addition to being employed as a workbench in the study of POSS systems, </w:t>
      </w:r>
      <w:proofErr w:type="spellStart"/>
      <w:r>
        <w:t>MePOSS</w:t>
      </w:r>
      <w:proofErr w:type="spellEnd"/>
      <w:r>
        <w:t xml:space="preserve"> has found applications in the modulation of the hydrophobicity and plasticity properties of polymeric materials. </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3150"/>
        <w:gridCol w:w="3510"/>
      </w:tblGrid>
      <w:tr w:rsidR="00D94E98" w:rsidTr="00ED5B09">
        <w:trPr>
          <w:trHeight w:val="3429"/>
        </w:trPr>
        <w:tc>
          <w:tcPr>
            <w:tcW w:w="3510" w:type="dxa"/>
            <w:vMerge w:val="restart"/>
            <w:shd w:val="clear" w:color="auto" w:fill="auto"/>
          </w:tcPr>
          <w:p w:rsidR="00D94E98" w:rsidRPr="00D94E98" w:rsidRDefault="001301B7" w:rsidP="001301B7">
            <w:pPr>
              <w:jc w:val="both"/>
            </w:pPr>
            <w:r>
              <w:t xml:space="preserve">An AMBER [3] force-field has been adopted for the simulation of </w:t>
            </w:r>
            <w:proofErr w:type="spellStart"/>
            <w:r>
              <w:t>MePOSS</w:t>
            </w:r>
            <w:proofErr w:type="spellEnd"/>
            <w:r>
              <w:t>. This force-field has been previously used in simulations comparing to structural data from ion mobility mass spectroscopy experiments [4].</w:t>
            </w:r>
            <w:r w:rsidR="00AC538C">
              <w:t xml:space="preserve">We determined to refine this force-field against quasi-elastic dynamical data taken from a powder sample at the BASIS </w:t>
            </w:r>
            <w:proofErr w:type="spellStart"/>
            <w:r w:rsidR="00AC538C">
              <w:t>beamline</w:t>
            </w:r>
            <w:proofErr w:type="spellEnd"/>
            <w:r w:rsidR="00AC538C">
              <w:t xml:space="preserve"> at SNS. In particular, we sought to refine the potential energy barrier parameter regulating the rate of methyl group rotation around the S</w:t>
            </w:r>
            <w:r w:rsidR="00AC538C" w:rsidRPr="0048331F">
              <w:rPr>
                <w:vertAlign w:val="subscript"/>
              </w:rPr>
              <w:t>i</w:t>
            </w:r>
            <w:r w:rsidR="00AC538C">
              <w:t xml:space="preserve">-C bond. </w:t>
            </w:r>
          </w:p>
        </w:tc>
        <w:tc>
          <w:tcPr>
            <w:tcW w:w="3150" w:type="dxa"/>
          </w:tcPr>
          <w:p w:rsidR="00D94E98" w:rsidRDefault="00D94E98" w:rsidP="00AC538C">
            <w:pPr>
              <w:jc w:val="center"/>
            </w:pPr>
            <w:r>
              <w:t>(a)</w:t>
            </w:r>
          </w:p>
          <w:p w:rsidR="00D94E98" w:rsidRDefault="00AC538C" w:rsidP="00AC538C">
            <w:pPr>
              <w:jc w:val="center"/>
            </w:pPr>
            <w:r>
              <w:rPr>
                <w:rFonts w:ascii="Calibri" w:hAnsi="Calibri" w:cs="Calibri"/>
                <w:noProof/>
                <w:sz w:val="20"/>
              </w:rPr>
              <w:drawing>
                <wp:inline distT="0" distB="0" distL="0" distR="0" wp14:anchorId="4D1ABED4" wp14:editId="1617A5FB">
                  <wp:extent cx="1432560" cy="1541166"/>
                  <wp:effectExtent l="171450" t="171450" r="224790" b="2305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8t8.png"/>
                          <pic:cNvPicPr/>
                        </pic:nvPicPr>
                        <pic:blipFill rotWithShape="1">
                          <a:blip r:embed="rId14" cstate="print">
                            <a:extLst>
                              <a:ext uri="{28A0092B-C50C-407E-A947-70E740481C1C}">
                                <a14:useLocalDpi xmlns:a14="http://schemas.microsoft.com/office/drawing/2010/main" val="0"/>
                              </a:ext>
                            </a:extLst>
                          </a:blip>
                          <a:srcRect l="17869" r="12416"/>
                          <a:stretch/>
                        </pic:blipFill>
                        <pic:spPr bwMode="auto">
                          <a:xfrm>
                            <a:off x="0" y="0"/>
                            <a:ext cx="1442772" cy="1552153"/>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tc>
        <w:tc>
          <w:tcPr>
            <w:tcW w:w="3510" w:type="dxa"/>
          </w:tcPr>
          <w:p w:rsidR="00D94E98" w:rsidRDefault="00D94E98" w:rsidP="00AC538C">
            <w:pPr>
              <w:jc w:val="center"/>
            </w:pPr>
            <w:r>
              <w:t>(b)</w:t>
            </w:r>
          </w:p>
          <w:p w:rsidR="00D94E98" w:rsidRDefault="00AC538C" w:rsidP="00AC538C">
            <w:pPr>
              <w:jc w:val="center"/>
              <w:rPr>
                <w:rFonts w:ascii="Calibri" w:hAnsi="Calibri" w:cs="Calibri"/>
                <w:noProof/>
                <w:sz w:val="20"/>
              </w:rPr>
            </w:pPr>
            <w:r w:rsidRPr="00713A0D">
              <w:rPr>
                <w:noProof/>
              </w:rPr>
              <w:drawing>
                <wp:inline distT="0" distB="0" distL="0" distR="0" wp14:anchorId="2447554B" wp14:editId="5F9FE02E">
                  <wp:extent cx="1844040" cy="1640371"/>
                  <wp:effectExtent l="171450" t="171450" r="384810" b="360045"/>
                  <wp:docPr id="7170" name="Picture 2" descr="C:\Documents and Settings\Jose Borreguero\My Documents\presentations or reports\BSS_presentation.pptx\Figures\mercury_3x3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Documents and Settings\Jose Borreguero\My Documents\presentations or reports\BSS_presentation.pptx\Figures\mercury_3x3x3.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65" t="6875" r="9219"/>
                          <a:stretch/>
                        </pic:blipFill>
                        <pic:spPr bwMode="auto">
                          <a:xfrm>
                            <a:off x="0" y="0"/>
                            <a:ext cx="1852438" cy="1647842"/>
                          </a:xfrm>
                          <a:prstGeom prst="rect">
                            <a:avLst/>
                          </a:prstGeom>
                          <a:ln>
                            <a:noFill/>
                          </a:ln>
                          <a:effectLst>
                            <a:outerShdw blurRad="292100" dist="139700" dir="2700000" algn="tl" rotWithShape="0">
                              <a:srgbClr val="333333">
                                <a:alpha val="65000"/>
                              </a:srgbClr>
                            </a:outerShdw>
                          </a:effectLst>
                          <a:extLst/>
                        </pic:spPr>
                      </pic:pic>
                    </a:graphicData>
                  </a:graphic>
                </wp:inline>
              </w:drawing>
            </w:r>
          </w:p>
        </w:tc>
      </w:tr>
      <w:tr w:rsidR="00D94E98" w:rsidTr="00ED5B09">
        <w:trPr>
          <w:trHeight w:val="68"/>
        </w:trPr>
        <w:tc>
          <w:tcPr>
            <w:tcW w:w="3510" w:type="dxa"/>
            <w:vMerge/>
            <w:shd w:val="clear" w:color="auto" w:fill="auto"/>
          </w:tcPr>
          <w:p w:rsidR="00D94E98" w:rsidRDefault="00D94E98" w:rsidP="00D5683C">
            <w:pPr>
              <w:jc w:val="both"/>
            </w:pPr>
          </w:p>
        </w:tc>
        <w:tc>
          <w:tcPr>
            <w:tcW w:w="6660" w:type="dxa"/>
            <w:gridSpan w:val="2"/>
          </w:tcPr>
          <w:p w:rsidR="00D94E98" w:rsidRDefault="00B100FD" w:rsidP="00D94E98">
            <w:pPr>
              <w:spacing w:after="120"/>
              <w:jc w:val="center"/>
            </w:pPr>
            <w:r>
              <w:t>Figure 4</w:t>
            </w:r>
            <w:r w:rsidR="00D94E98">
              <w:t xml:space="preserve">. </w:t>
            </w:r>
            <w:proofErr w:type="spellStart"/>
            <w:r w:rsidR="00D94E98">
              <w:t>MePOSS</w:t>
            </w:r>
            <w:proofErr w:type="spellEnd"/>
            <w:r w:rsidR="00D94E98">
              <w:t>, (a) single molecule and (b) crystal</w:t>
            </w:r>
          </w:p>
        </w:tc>
      </w:tr>
    </w:tbl>
    <w:p w:rsidR="00BC573C" w:rsidRDefault="001301B7" w:rsidP="00ED5B09">
      <w:pPr>
        <w:spacing w:line="240" w:lineRule="auto"/>
        <w:ind w:left="-90"/>
      </w:pPr>
      <w:r>
        <w:t xml:space="preserve">Preliminary fits of the dynamical incoherent structure factor using a single-molecule system </w:t>
      </w:r>
      <w:r w:rsidR="00B100FD">
        <w:t xml:space="preserve">(Figure 4a) </w:t>
      </w:r>
      <w:r>
        <w:t xml:space="preserve">indicate that the energy barrier parameter in this force-field has </w:t>
      </w:r>
      <w:r w:rsidR="00B100FD">
        <w:t>been overstated by 37% (Figure 5</w:t>
      </w:r>
      <w:r>
        <w:t xml:space="preserve">). </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040"/>
      </w:tblGrid>
      <w:tr w:rsidR="00BC573C" w:rsidTr="00ED5B09">
        <w:trPr>
          <w:trHeight w:val="4401"/>
        </w:trPr>
        <w:tc>
          <w:tcPr>
            <w:tcW w:w="5310" w:type="dxa"/>
          </w:tcPr>
          <w:p w:rsidR="00BC573C" w:rsidRPr="00C73B64" w:rsidRDefault="00BC573C" w:rsidP="00D5683C">
            <w:pPr>
              <w:spacing w:after="200"/>
              <w:jc w:val="center"/>
              <w:rPr>
                <w:rFonts w:ascii="Calibri" w:hAnsi="Calibri" w:cs="Calibri"/>
                <w:b/>
                <w:noProof/>
                <w:sz w:val="20"/>
              </w:rPr>
            </w:pPr>
            <w:r w:rsidRPr="00C73B64">
              <w:rPr>
                <w:rFonts w:ascii="Calibri" w:hAnsi="Calibri" w:cs="Calibri"/>
                <w:b/>
                <w:noProof/>
                <w:sz w:val="20"/>
              </w:rPr>
              <w:t>(a)</w:t>
            </w:r>
          </w:p>
          <w:p w:rsidR="00BC573C" w:rsidRDefault="00BC573C" w:rsidP="00D5683C">
            <w:pPr>
              <w:spacing w:after="200"/>
              <w:jc w:val="center"/>
            </w:pPr>
            <w:r>
              <w:rPr>
                <w:rFonts w:ascii="Calibri" w:hAnsi="Calibri" w:cs="Calibri"/>
                <w:noProof/>
                <w:sz w:val="20"/>
              </w:rPr>
              <w:drawing>
                <wp:inline distT="0" distB="0" distL="0" distR="0" wp14:anchorId="1BD104E7" wp14:editId="3CB5DC53">
                  <wp:extent cx="2955712"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_run0_SQE_to_exp_Q1.9.v2.jpeg"/>
                          <pic:cNvPicPr/>
                        </pic:nvPicPr>
                        <pic:blipFill rotWithShape="1">
                          <a:blip r:embed="rId16" cstate="print">
                            <a:extLst>
                              <a:ext uri="{28A0092B-C50C-407E-A947-70E740481C1C}">
                                <a14:useLocalDpi xmlns:a14="http://schemas.microsoft.com/office/drawing/2010/main" val="0"/>
                              </a:ext>
                            </a:extLst>
                          </a:blip>
                          <a:srcRect t="7189"/>
                          <a:stretch/>
                        </pic:blipFill>
                        <pic:spPr bwMode="auto">
                          <a:xfrm>
                            <a:off x="0" y="0"/>
                            <a:ext cx="2955712" cy="2286000"/>
                          </a:xfrm>
                          <a:prstGeom prst="rect">
                            <a:avLst/>
                          </a:prstGeom>
                          <a:ln>
                            <a:noFill/>
                          </a:ln>
                          <a:extLst>
                            <a:ext uri="{53640926-AAD7-44D8-BBD7-CCE9431645EC}">
                              <a14:shadowObscured xmlns:a14="http://schemas.microsoft.com/office/drawing/2010/main"/>
                            </a:ext>
                          </a:extLst>
                        </pic:spPr>
                      </pic:pic>
                    </a:graphicData>
                  </a:graphic>
                </wp:inline>
              </w:drawing>
            </w:r>
          </w:p>
        </w:tc>
        <w:tc>
          <w:tcPr>
            <w:tcW w:w="5040" w:type="dxa"/>
          </w:tcPr>
          <w:p w:rsidR="00BC573C" w:rsidRPr="00C73B64" w:rsidRDefault="00BC573C" w:rsidP="00D5683C">
            <w:pPr>
              <w:spacing w:after="200"/>
              <w:jc w:val="center"/>
              <w:rPr>
                <w:rFonts w:ascii="Calibri" w:hAnsi="Calibri" w:cs="Calibri"/>
                <w:b/>
                <w:noProof/>
                <w:sz w:val="20"/>
              </w:rPr>
            </w:pPr>
            <w:r w:rsidRPr="00C73B64">
              <w:rPr>
                <w:rFonts w:ascii="Calibri" w:hAnsi="Calibri" w:cs="Calibri"/>
                <w:b/>
                <w:noProof/>
                <w:sz w:val="20"/>
              </w:rPr>
              <w:t>(b)</w:t>
            </w:r>
          </w:p>
          <w:p w:rsidR="00BC573C" w:rsidRDefault="00BC573C" w:rsidP="00D5683C">
            <w:pPr>
              <w:spacing w:after="200"/>
              <w:jc w:val="center"/>
            </w:pPr>
            <w:r>
              <w:rPr>
                <w:rFonts w:ascii="Calibri" w:hAnsi="Calibri" w:cs="Calibri"/>
                <w:noProof/>
                <w:sz w:val="20"/>
              </w:rPr>
              <w:drawing>
                <wp:inline distT="0" distB="0" distL="0" distR="0" wp14:anchorId="27D21DCB" wp14:editId="42CDACB8">
                  <wp:extent cx="2761488" cy="2286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_run1_SQE_to_exp_Q1.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1488" cy="2286000"/>
                          </a:xfrm>
                          <a:prstGeom prst="rect">
                            <a:avLst/>
                          </a:prstGeom>
                        </pic:spPr>
                      </pic:pic>
                    </a:graphicData>
                  </a:graphic>
                </wp:inline>
              </w:drawing>
            </w:r>
          </w:p>
          <w:p w:rsidR="00BC573C" w:rsidRDefault="00BC573C" w:rsidP="00D5683C">
            <w:pPr>
              <w:spacing w:after="200"/>
              <w:jc w:val="center"/>
            </w:pPr>
          </w:p>
        </w:tc>
      </w:tr>
      <w:tr w:rsidR="00DE1CF8" w:rsidTr="00ED5B09">
        <w:tc>
          <w:tcPr>
            <w:tcW w:w="10350" w:type="dxa"/>
            <w:gridSpan w:val="2"/>
          </w:tcPr>
          <w:p w:rsidR="00DE1CF8" w:rsidRPr="00DE1CF8" w:rsidRDefault="00B100FD" w:rsidP="00D5683C">
            <w:pPr>
              <w:spacing w:after="200"/>
            </w:pPr>
            <w:r>
              <w:t>Figure 5</w:t>
            </w:r>
            <w:r w:rsidR="00DE1CF8">
              <w:t xml:space="preserve">. Preliminary fits of calculated quasi-elastic incoherent structure factor derived from molecular dynamics simulations against data taken from powder micro-crystal sample at the BASIS </w:t>
            </w:r>
            <w:proofErr w:type="spellStart"/>
            <w:r w:rsidR="00DE1CF8">
              <w:t>beamline</w:t>
            </w:r>
            <w:proofErr w:type="spellEnd"/>
            <w:r w:rsidR="00DE1CF8">
              <w:t>. (a) Fit with the original force-field (K=0.11). (</w:t>
            </w:r>
            <w:proofErr w:type="gramStart"/>
            <w:r w:rsidR="00DE1CF8">
              <w:t>b</w:t>
            </w:r>
            <w:proofErr w:type="gramEnd"/>
            <w:r w:rsidR="00DE1CF8">
              <w:t>) Fit after potential has been refined (K=0.07).</w:t>
            </w:r>
          </w:p>
        </w:tc>
      </w:tr>
    </w:tbl>
    <w:p w:rsidR="00FB043A" w:rsidRDefault="00536EA3" w:rsidP="00ED5B09">
      <w:pPr>
        <w:pStyle w:val="EndNoteBibliography"/>
        <w:ind w:left="-90"/>
      </w:pPr>
      <w:r>
        <w:t>Since the simulated system is composed of a single-molecule, we plan to build a crystalline system that will assess the relevance of confined d</w:t>
      </w:r>
      <w:r w:rsidR="00B100FD">
        <w:t>iffusion of the MePOSS (Figure 4</w:t>
      </w:r>
      <w:r>
        <w:t>b), an effect which was neglected in the single-molecule approximation.</w:t>
      </w:r>
    </w:p>
    <w:p w:rsidR="00AC51C3" w:rsidRDefault="00AC51C3">
      <w:pPr>
        <w:rPr>
          <w:b/>
        </w:rPr>
      </w:pPr>
      <w:bookmarkStart w:id="1" w:name="_ENREF_3"/>
      <w:r>
        <w:rPr>
          <w:b/>
        </w:rPr>
        <w:br w:type="page"/>
      </w:r>
    </w:p>
    <w:p w:rsidR="008F513D" w:rsidRPr="008B6BD6" w:rsidRDefault="000647DE" w:rsidP="00D5683C">
      <w:pPr>
        <w:spacing w:line="240" w:lineRule="auto"/>
        <w:rPr>
          <w:b/>
        </w:rPr>
      </w:pPr>
      <w:r>
        <w:rPr>
          <w:b/>
        </w:rPr>
        <w:lastRenderedPageBreak/>
        <w:t xml:space="preserve">1.2 </w:t>
      </w:r>
      <w:r w:rsidR="008F513D">
        <w:rPr>
          <w:b/>
        </w:rPr>
        <w:t xml:space="preserve">The </w:t>
      </w:r>
      <w:r w:rsidR="008F513D" w:rsidRPr="008B6BD6">
        <w:rPr>
          <w:b/>
        </w:rPr>
        <w:t xml:space="preserve">Boson Peak in Poly-Glutamic </w:t>
      </w:r>
      <w:r w:rsidR="008F513D">
        <w:rPr>
          <w:b/>
        </w:rPr>
        <w:t xml:space="preserve">Acid </w:t>
      </w:r>
      <w:r w:rsidR="008F513D" w:rsidRPr="008B6BD6">
        <w:rPr>
          <w:b/>
        </w:rPr>
        <w:t>Polymers</w:t>
      </w:r>
    </w:p>
    <w:p w:rsidR="006151F7" w:rsidRDefault="002562C1" w:rsidP="00D5683C">
      <w:pPr>
        <w:autoSpaceDE w:val="0"/>
        <w:autoSpaceDN w:val="0"/>
        <w:adjustRightInd w:val="0"/>
        <w:spacing w:line="240" w:lineRule="auto"/>
        <w:rPr>
          <w:rFonts w:cs="AdvOT2e364b11"/>
          <w:szCs w:val="20"/>
        </w:rPr>
      </w:pPr>
      <w:r>
        <w:rPr>
          <w:rFonts w:cs="AdvOT2e364b11"/>
          <w:szCs w:val="20"/>
        </w:rPr>
        <w:t xml:space="preserve">SNS Users: </w:t>
      </w:r>
      <w:r w:rsidR="008F513D">
        <w:rPr>
          <w:rFonts w:cs="AdvOT2e364b11"/>
          <w:szCs w:val="20"/>
        </w:rPr>
        <w:t>Jonathan Nickels and Stefania Perticaroli (University of Tennessee – Knoxville)</w:t>
      </w:r>
      <w:r>
        <w:rPr>
          <w:rFonts w:cs="AdvOT2e364b11"/>
          <w:szCs w:val="20"/>
        </w:rPr>
        <w:t xml:space="preserve"> – CNCS experiments</w:t>
      </w:r>
      <w:r>
        <w:rPr>
          <w:rFonts w:cs="AdvOT2e364b11"/>
          <w:szCs w:val="20"/>
        </w:rPr>
        <w:br/>
        <w:t>CAMM contacts: Jose Borreguero and Mark Hagen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4248"/>
      </w:tblGrid>
      <w:tr w:rsidR="006151F7" w:rsidTr="006151F7">
        <w:tc>
          <w:tcPr>
            <w:tcW w:w="6048" w:type="dxa"/>
          </w:tcPr>
          <w:p w:rsidR="006151F7" w:rsidRDefault="006151F7" w:rsidP="00D5683C">
            <w:pPr>
              <w:autoSpaceDE w:val="0"/>
              <w:autoSpaceDN w:val="0"/>
              <w:adjustRightInd w:val="0"/>
              <w:jc w:val="both"/>
              <w:rPr>
                <w:rFonts w:cs="AdvOT2e364b11"/>
                <w:szCs w:val="20"/>
              </w:rPr>
            </w:pPr>
            <w:r w:rsidRPr="008B6BD6">
              <w:rPr>
                <w:rFonts w:cs="AdvOT2e364b11"/>
                <w:szCs w:val="20"/>
              </w:rPr>
              <w:t xml:space="preserve">The boson peak </w:t>
            </w:r>
            <w:r>
              <w:rPr>
                <w:rFonts w:cs="AdvOT2e364b11"/>
                <w:szCs w:val="20"/>
              </w:rPr>
              <w:t xml:space="preserve">(BP) </w:t>
            </w:r>
            <w:r w:rsidRPr="008B6BD6">
              <w:rPr>
                <w:rFonts w:cs="AdvOT2e364b11"/>
                <w:szCs w:val="20"/>
              </w:rPr>
              <w:t xml:space="preserve">is an excess of low energy excitations beyond those observed in crystalline materials, and a ubiquitous phenomenon of systems endowed with a rugged energy landscape.  The </w:t>
            </w:r>
            <w:r>
              <w:rPr>
                <w:rFonts w:cs="AdvOT2e364b11"/>
                <w:szCs w:val="20"/>
              </w:rPr>
              <w:t>BP</w:t>
            </w:r>
            <w:r w:rsidRPr="008B6BD6">
              <w:rPr>
                <w:rFonts w:cs="AdvOT2e364b11"/>
                <w:szCs w:val="20"/>
              </w:rPr>
              <w:t xml:space="preserve"> has been observed</w:t>
            </w:r>
            <w:r>
              <w:rPr>
                <w:rFonts w:cs="AdvOT2e364b11"/>
                <w:szCs w:val="20"/>
              </w:rPr>
              <w:t xml:space="preserve"> in inelastic neutron scattering data taken from proteins,</w:t>
            </w:r>
            <w:r w:rsidRPr="008B6BD6">
              <w:rPr>
                <w:rFonts w:cs="AdvOT2e364b11"/>
                <w:szCs w:val="20"/>
              </w:rPr>
              <w:t xml:space="preserve"> glasses</w:t>
            </w:r>
            <w:r w:rsidRPr="008B6BD6">
              <w:rPr>
                <w:rFonts w:cs="AdvOT2e364b11"/>
                <w:sz w:val="15"/>
                <w:szCs w:val="13"/>
              </w:rPr>
              <w:t xml:space="preserve"> </w:t>
            </w:r>
            <w:r w:rsidRPr="008B6BD6">
              <w:rPr>
                <w:rFonts w:cs="AdvOT2e364b11"/>
                <w:szCs w:val="20"/>
              </w:rPr>
              <w:t>and amorphous solids</w:t>
            </w:r>
            <w:r>
              <w:rPr>
                <w:rFonts w:cs="AdvOT2e364b11"/>
                <w:szCs w:val="20"/>
              </w:rPr>
              <w:t xml:space="preserve">, its prominent feature being </w:t>
            </w:r>
            <w:r w:rsidRPr="008B6BD6">
              <w:rPr>
                <w:rFonts w:cs="AdvOT2e364b11"/>
                <w:szCs w:val="20"/>
              </w:rPr>
              <w:t>a local maximum of the dynamic structure factor in the 2-</w:t>
            </w:r>
            <w:r>
              <w:rPr>
                <w:rFonts w:cs="AdvOT2e364b11"/>
                <w:szCs w:val="20"/>
              </w:rPr>
              <w:t>7</w:t>
            </w:r>
            <w:r w:rsidRPr="008B6BD6">
              <w:rPr>
                <w:rFonts w:cs="AdvOT2e364b11"/>
                <w:szCs w:val="20"/>
              </w:rPr>
              <w:t xml:space="preserve"> </w:t>
            </w:r>
            <w:proofErr w:type="spellStart"/>
            <w:r w:rsidRPr="008B6BD6">
              <w:rPr>
                <w:rFonts w:cs="AdvOT2e364b11"/>
                <w:szCs w:val="20"/>
              </w:rPr>
              <w:t>meV</w:t>
            </w:r>
            <w:proofErr w:type="spellEnd"/>
            <w:r w:rsidRPr="008B6BD6">
              <w:rPr>
                <w:rFonts w:cs="AdvOT2e364b11"/>
                <w:szCs w:val="20"/>
              </w:rPr>
              <w:t xml:space="preserve"> energy transfer range. One hypothesis states that the </w:t>
            </w:r>
            <w:r>
              <w:rPr>
                <w:rFonts w:cs="AdvOT2e364b11"/>
                <w:szCs w:val="20"/>
              </w:rPr>
              <w:t>BP</w:t>
            </w:r>
            <w:r w:rsidRPr="008B6BD6">
              <w:rPr>
                <w:rFonts w:cs="AdvOT2e364b11"/>
                <w:szCs w:val="20"/>
              </w:rPr>
              <w:t xml:space="preserve"> arises from collective motions of atoms with damped resonances at frequencies in the acoustic range</w:t>
            </w:r>
            <w:r>
              <w:rPr>
                <w:rFonts w:cs="AdvOT2e364b11"/>
                <w:szCs w:val="20"/>
              </w:rPr>
              <w:t xml:space="preserve"> [5]. These types of resonances are both governed by the strength of the interactions between neighboring atoms as well as by their connectivity or topology. In a crystal, the topology is fully specified by the particular crystal symmetry but in an amorphous solid the description of the topology is dependent on the probed length-scale. The poly-Glutamic acid polymer (</w:t>
            </w:r>
            <w:proofErr w:type="spellStart"/>
            <w:r>
              <w:rPr>
                <w:rFonts w:cs="AdvOT2e364b11"/>
                <w:szCs w:val="20"/>
              </w:rPr>
              <w:t>pE</w:t>
            </w:r>
            <w:proofErr w:type="spellEnd"/>
            <w:r>
              <w:rPr>
                <w:rFonts w:cs="AdvOT2e364b11"/>
                <w:szCs w:val="20"/>
              </w:rPr>
              <w:t>) is an excellent system to study the role of the topology in the determination of the BP because its topology can be altered with</w:t>
            </w:r>
            <w:r w:rsidR="00D5683C">
              <w:rPr>
                <w:rFonts w:cs="AdvOT2e364b11"/>
                <w:szCs w:val="20"/>
              </w:rPr>
              <w:t xml:space="preserve"> variations of the pH, while the chemical composition remains constant. </w:t>
            </w:r>
            <w:r>
              <w:rPr>
                <w:rFonts w:cs="AdvOT2e364b11"/>
                <w:szCs w:val="20"/>
              </w:rPr>
              <w:t xml:space="preserve"> </w:t>
            </w:r>
          </w:p>
        </w:tc>
        <w:tc>
          <w:tcPr>
            <w:tcW w:w="4248" w:type="dxa"/>
          </w:tcPr>
          <w:p w:rsidR="006151F7" w:rsidRDefault="006151F7" w:rsidP="00D5683C">
            <w:pPr>
              <w:autoSpaceDE w:val="0"/>
              <w:autoSpaceDN w:val="0"/>
              <w:adjustRightInd w:val="0"/>
              <w:spacing w:after="200"/>
              <w:jc w:val="center"/>
              <w:rPr>
                <w:rFonts w:cs="AdvOT2e364b11"/>
                <w:szCs w:val="20"/>
              </w:rPr>
            </w:pPr>
            <w:r>
              <w:rPr>
                <w:rFonts w:ascii="Ubuntu" w:hAnsi="Ubuntu"/>
                <w:noProof/>
                <w:sz w:val="16"/>
              </w:rPr>
              <w:drawing>
                <wp:inline distT="0" distB="0" distL="0" distR="0" wp14:anchorId="5F6FA1C2" wp14:editId="589D7DCF">
                  <wp:extent cx="2258260" cy="2240637"/>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it0.restart_rotated_solvated.png"/>
                          <pic:cNvPicPr/>
                        </pic:nvPicPr>
                        <pic:blipFill rotWithShape="1">
                          <a:blip r:embed="rId18" cstate="print">
                            <a:extLst>
                              <a:ext uri="{28A0092B-C50C-407E-A947-70E740481C1C}">
                                <a14:useLocalDpi xmlns:a14="http://schemas.microsoft.com/office/drawing/2010/main" val="0"/>
                              </a:ext>
                            </a:extLst>
                          </a:blip>
                          <a:srcRect l="18965" t="15442" r="2276" b="1767"/>
                          <a:stretch/>
                        </pic:blipFill>
                        <pic:spPr bwMode="auto">
                          <a:xfrm>
                            <a:off x="0" y="0"/>
                            <a:ext cx="2258260" cy="2240637"/>
                          </a:xfrm>
                          <a:prstGeom prst="rect">
                            <a:avLst/>
                          </a:prstGeom>
                          <a:ln>
                            <a:noFill/>
                          </a:ln>
                          <a:extLst>
                            <a:ext uri="{53640926-AAD7-44D8-BBD7-CCE9431645EC}">
                              <a14:shadowObscured xmlns:a14="http://schemas.microsoft.com/office/drawing/2010/main"/>
                            </a:ext>
                          </a:extLst>
                        </pic:spPr>
                      </pic:pic>
                    </a:graphicData>
                  </a:graphic>
                </wp:inline>
              </w:drawing>
            </w:r>
          </w:p>
          <w:p w:rsidR="006151F7" w:rsidRDefault="00B100FD" w:rsidP="00D5683C">
            <w:pPr>
              <w:autoSpaceDE w:val="0"/>
              <w:autoSpaceDN w:val="0"/>
              <w:adjustRightInd w:val="0"/>
              <w:spacing w:after="200"/>
              <w:rPr>
                <w:rFonts w:cs="AdvOT2e364b11"/>
                <w:szCs w:val="20"/>
              </w:rPr>
            </w:pPr>
            <w:r>
              <w:t>Figure 6</w:t>
            </w:r>
            <w:r w:rsidR="006151F7">
              <w:t xml:space="preserve">. </w:t>
            </w:r>
            <w:proofErr w:type="spellStart"/>
            <w:proofErr w:type="gramStart"/>
            <w:r w:rsidR="006151F7">
              <w:t>pE</w:t>
            </w:r>
            <w:proofErr w:type="spellEnd"/>
            <w:proofErr w:type="gramEnd"/>
            <w:r w:rsidR="006151F7">
              <w:t xml:space="preserve"> polymer chain solvated in water. Only the center of mass of the water molecules is displayed (red dots) to allow visualization of the polymer chain.</w:t>
            </w:r>
          </w:p>
        </w:tc>
      </w:tr>
    </w:tbl>
    <w:p w:rsidR="00D5683C" w:rsidRDefault="00D5683C" w:rsidP="00D5683C">
      <w:pPr>
        <w:autoSpaceDE w:val="0"/>
        <w:autoSpaceDN w:val="0"/>
        <w:adjustRightInd w:val="0"/>
        <w:spacing w:after="0" w:line="240" w:lineRule="auto"/>
        <w:rPr>
          <w:rFonts w:cs="AdvOT2e364b11"/>
          <w:szCs w:val="20"/>
        </w:rPr>
      </w:pPr>
    </w:p>
    <w:tbl>
      <w:tblPr>
        <w:tblStyle w:val="TableGrid"/>
        <w:tblW w:w="0" w:type="auto"/>
        <w:tblInd w:w="288" w:type="dxa"/>
        <w:tblLook w:val="04A0" w:firstRow="1" w:lastRow="0" w:firstColumn="1" w:lastColumn="0" w:noHBand="0" w:noVBand="1"/>
      </w:tblPr>
      <w:tblGrid>
        <w:gridCol w:w="4773"/>
        <w:gridCol w:w="4857"/>
      </w:tblGrid>
      <w:tr w:rsidR="008F513D" w:rsidTr="00FB043A">
        <w:tc>
          <w:tcPr>
            <w:tcW w:w="4773" w:type="dxa"/>
            <w:tcBorders>
              <w:top w:val="nil"/>
              <w:left w:val="nil"/>
              <w:bottom w:val="nil"/>
              <w:right w:val="nil"/>
            </w:tcBorders>
          </w:tcPr>
          <w:p w:rsidR="008F513D" w:rsidRDefault="008F513D" w:rsidP="00D5683C">
            <w:pPr>
              <w:spacing w:after="200"/>
              <w:jc w:val="center"/>
            </w:pPr>
            <w:r>
              <w:t>(a)</w:t>
            </w:r>
          </w:p>
          <w:p w:rsidR="008F513D" w:rsidRDefault="008F513D" w:rsidP="00D5683C">
            <w:pPr>
              <w:spacing w:after="200"/>
              <w:jc w:val="center"/>
            </w:pPr>
            <w:r>
              <w:rPr>
                <w:noProof/>
                <w:sz w:val="20"/>
              </w:rPr>
              <w:drawing>
                <wp:inline distT="0" distB="0" distL="0" distR="0" wp14:anchorId="2CF046C4" wp14:editId="18D79B82">
                  <wp:extent cx="2270760" cy="2270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f_run3_rms2first_HA.png"/>
                          <pic:cNvPicPr/>
                        </pic:nvPicPr>
                        <pic:blipFill rotWithShape="1">
                          <a:blip r:embed="rId19" cstate="print">
                            <a:extLst>
                              <a:ext uri="{28A0092B-C50C-407E-A947-70E740481C1C}">
                                <a14:useLocalDpi xmlns:a14="http://schemas.microsoft.com/office/drawing/2010/main" val="0"/>
                              </a:ext>
                            </a:extLst>
                          </a:blip>
                          <a:srcRect l="1879" t="9621" r="33824" b="7278"/>
                          <a:stretch/>
                        </pic:blipFill>
                        <pic:spPr bwMode="auto">
                          <a:xfrm>
                            <a:off x="0" y="0"/>
                            <a:ext cx="2270760" cy="2270760"/>
                          </a:xfrm>
                          <a:prstGeom prst="rect">
                            <a:avLst/>
                          </a:prstGeom>
                          <a:ln>
                            <a:noFill/>
                          </a:ln>
                          <a:extLst>
                            <a:ext uri="{53640926-AAD7-44D8-BBD7-CCE9431645EC}">
                              <a14:shadowObscured xmlns:a14="http://schemas.microsoft.com/office/drawing/2010/main"/>
                            </a:ext>
                          </a:extLst>
                        </pic:spPr>
                      </pic:pic>
                    </a:graphicData>
                  </a:graphic>
                </wp:inline>
              </w:drawing>
            </w:r>
          </w:p>
        </w:tc>
        <w:tc>
          <w:tcPr>
            <w:tcW w:w="4857" w:type="dxa"/>
            <w:tcBorders>
              <w:top w:val="nil"/>
              <w:left w:val="nil"/>
              <w:bottom w:val="nil"/>
              <w:right w:val="nil"/>
            </w:tcBorders>
          </w:tcPr>
          <w:p w:rsidR="008F513D" w:rsidRDefault="008F513D" w:rsidP="00D5683C">
            <w:pPr>
              <w:spacing w:after="200"/>
              <w:jc w:val="center"/>
            </w:pPr>
            <w:r>
              <w:t>(b)</w:t>
            </w:r>
          </w:p>
          <w:p w:rsidR="008F513D" w:rsidRDefault="008F513D" w:rsidP="00D5683C">
            <w:pPr>
              <w:spacing w:after="200"/>
              <w:jc w:val="center"/>
            </w:pPr>
            <w:r>
              <w:rPr>
                <w:noProof/>
              </w:rPr>
              <w:drawing>
                <wp:inline distT="0" distB="0" distL="0" distR="0" wp14:anchorId="22757696" wp14:editId="0F53205A">
                  <wp:extent cx="2424459"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k2.png"/>
                          <pic:cNvPicPr/>
                        </pic:nvPicPr>
                        <pic:blipFill rotWithShape="1">
                          <a:blip r:embed="rId20" cstate="print">
                            <a:extLst>
                              <a:ext uri="{28A0092B-C50C-407E-A947-70E740481C1C}">
                                <a14:useLocalDpi xmlns:a14="http://schemas.microsoft.com/office/drawing/2010/main" val="0"/>
                              </a:ext>
                            </a:extLst>
                          </a:blip>
                          <a:srcRect l="4421" t="13360" r="32368" b="7171"/>
                          <a:stretch/>
                        </pic:blipFill>
                        <pic:spPr bwMode="auto">
                          <a:xfrm>
                            <a:off x="0" y="0"/>
                            <a:ext cx="2424459"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FB043A" w:rsidTr="00FB043A">
        <w:tc>
          <w:tcPr>
            <w:tcW w:w="9630" w:type="dxa"/>
            <w:gridSpan w:val="2"/>
            <w:tcBorders>
              <w:top w:val="nil"/>
              <w:left w:val="nil"/>
              <w:bottom w:val="nil"/>
              <w:right w:val="nil"/>
            </w:tcBorders>
          </w:tcPr>
          <w:p w:rsidR="00FB043A" w:rsidRDefault="00B100FD" w:rsidP="00D5683C">
            <w:r>
              <w:t>Figure 7</w:t>
            </w:r>
            <w:r w:rsidR="00FB043A">
              <w:t xml:space="preserve">. Dynamical structure factors of the single </w:t>
            </w:r>
            <w:proofErr w:type="spellStart"/>
            <w:r w:rsidR="00FB043A">
              <w:t>pE</w:t>
            </w:r>
            <w:proofErr w:type="spellEnd"/>
            <w:r w:rsidR="00FB043A">
              <w:t xml:space="preserve"> polymer chain. (a) Intermediate structure factor </w:t>
            </w:r>
            <w:proofErr w:type="gramStart"/>
            <w:r w:rsidR="00FB043A">
              <w:t>I(</w:t>
            </w:r>
            <w:proofErr w:type="spellStart"/>
            <w:proofErr w:type="gramEnd"/>
            <w:r w:rsidR="00FB043A">
              <w:t>Q,t</w:t>
            </w:r>
            <w:proofErr w:type="spellEnd"/>
            <w:r w:rsidR="00FB043A">
              <w:t xml:space="preserve">) showing a decay in the </w:t>
            </w:r>
            <w:proofErr w:type="spellStart"/>
            <w:r w:rsidR="00FB043A">
              <w:t>nano</w:t>
            </w:r>
            <w:proofErr w:type="spellEnd"/>
            <w:r w:rsidR="00FB043A">
              <w:t xml:space="preserve">-second time scale with superimposed oscillations in the </w:t>
            </w:r>
            <w:proofErr w:type="spellStart"/>
            <w:r w:rsidR="00FB043A">
              <w:t>pico</w:t>
            </w:r>
            <w:proofErr w:type="spellEnd"/>
            <w:r w:rsidR="00FB043A">
              <w:t xml:space="preserve">-second time scale. (b) </w:t>
            </w:r>
            <w:proofErr w:type="gramStart"/>
            <w:r w:rsidR="00FB043A">
              <w:t>structure</w:t>
            </w:r>
            <w:proofErr w:type="gramEnd"/>
            <w:r w:rsidR="00FB043A">
              <w:t xml:space="preserve"> factor S(Q,E) showing a broad boson peak in the 1-9meV range.</w:t>
            </w:r>
          </w:p>
        </w:tc>
      </w:tr>
    </w:tbl>
    <w:p w:rsidR="00536EA3" w:rsidRDefault="00536EA3" w:rsidP="00536EA3">
      <w:pPr>
        <w:autoSpaceDE w:val="0"/>
        <w:autoSpaceDN w:val="0"/>
        <w:adjustRightInd w:val="0"/>
        <w:spacing w:after="0" w:line="240" w:lineRule="auto"/>
        <w:rPr>
          <w:rFonts w:cs="AdvOT2e364b11"/>
          <w:szCs w:val="20"/>
        </w:rPr>
      </w:pPr>
    </w:p>
    <w:p w:rsidR="00536EA3" w:rsidRDefault="00536EA3" w:rsidP="00536EA3">
      <w:pPr>
        <w:autoSpaceDE w:val="0"/>
        <w:autoSpaceDN w:val="0"/>
        <w:adjustRightInd w:val="0"/>
        <w:spacing w:after="0" w:line="240" w:lineRule="auto"/>
        <w:rPr>
          <w:rFonts w:cs="AdvOT2e364b11"/>
          <w:szCs w:val="20"/>
        </w:rPr>
      </w:pPr>
      <w:r>
        <w:rPr>
          <w:rFonts w:cs="AdvOT2e364b11"/>
          <w:szCs w:val="20"/>
        </w:rPr>
        <w:t xml:space="preserve">We aim to obtain a </w:t>
      </w:r>
      <w:proofErr w:type="spellStart"/>
      <w:r>
        <w:rPr>
          <w:rFonts w:cs="AdvOT2e364b11"/>
          <w:szCs w:val="20"/>
        </w:rPr>
        <w:t>pE</w:t>
      </w:r>
      <w:proofErr w:type="spellEnd"/>
      <w:r>
        <w:rPr>
          <w:rFonts w:cs="AdvOT2e364b11"/>
          <w:szCs w:val="20"/>
        </w:rPr>
        <w:t xml:space="preserve"> melt system that will faithfully reproduce the BP observed in inelastic neutron scattering experiments taken at the CNCS </w:t>
      </w:r>
      <w:proofErr w:type="spellStart"/>
      <w:r>
        <w:rPr>
          <w:rFonts w:cs="AdvOT2e364b11"/>
          <w:szCs w:val="20"/>
        </w:rPr>
        <w:t>beamline</w:t>
      </w:r>
      <w:proofErr w:type="spellEnd"/>
      <w:r>
        <w:rPr>
          <w:rFonts w:cs="AdvOT2e364b11"/>
          <w:szCs w:val="20"/>
        </w:rPr>
        <w:t xml:space="preserve"> of SNS. As a first step, we have built a single </w:t>
      </w:r>
      <w:proofErr w:type="spellStart"/>
      <w:r>
        <w:rPr>
          <w:rFonts w:cs="AdvOT2e364b11"/>
          <w:szCs w:val="20"/>
        </w:rPr>
        <w:t>pE</w:t>
      </w:r>
      <w:proofErr w:type="spellEnd"/>
      <w:r>
        <w:rPr>
          <w:rFonts w:cs="AdvOT2e364b11"/>
          <w:szCs w:val="20"/>
        </w:rPr>
        <w:t xml:space="preserve"> chain 482-monomers </w:t>
      </w:r>
      <w:r w:rsidR="00B100FD">
        <w:rPr>
          <w:rFonts w:cs="AdvOT2e364b11"/>
          <w:szCs w:val="20"/>
        </w:rPr>
        <w:t>long solvated in water (Figure 6</w:t>
      </w:r>
      <w:r>
        <w:rPr>
          <w:rFonts w:cs="AdvOT2e364b11"/>
          <w:szCs w:val="20"/>
        </w:rPr>
        <w:t xml:space="preserve">) with the CHARMM force-field, and calculated its inelastic incoherent structure </w:t>
      </w:r>
      <w:r>
        <w:rPr>
          <w:rFonts w:cs="AdvOT2e364b11"/>
          <w:szCs w:val="20"/>
        </w:rPr>
        <w:lastRenderedPageBreak/>
        <w:t xml:space="preserve">factor. Oscillations superimposed on the decaying intermediate structure factor </w:t>
      </w:r>
      <w:proofErr w:type="gramStart"/>
      <w:r>
        <w:rPr>
          <w:rFonts w:cs="AdvOT2e364b11"/>
          <w:szCs w:val="20"/>
        </w:rPr>
        <w:t>I(</w:t>
      </w:r>
      <w:proofErr w:type="spellStart"/>
      <w:proofErr w:type="gramEnd"/>
      <w:r>
        <w:rPr>
          <w:rFonts w:cs="AdvOT2e364b11"/>
          <w:szCs w:val="20"/>
        </w:rPr>
        <w:t>Q,t</w:t>
      </w:r>
      <w:proofErr w:type="spellEnd"/>
      <w:r>
        <w:rPr>
          <w:rFonts w:cs="AdvOT2e364b11"/>
          <w:szCs w:val="20"/>
        </w:rPr>
        <w:t xml:space="preserve">) are readily observable in the </w:t>
      </w:r>
      <w:proofErr w:type="spellStart"/>
      <w:r>
        <w:rPr>
          <w:rFonts w:cs="AdvOT2e364b11"/>
          <w:szCs w:val="20"/>
        </w:rPr>
        <w:t>pico</w:t>
      </w:r>
      <w:proofErr w:type="spellEnd"/>
      <w:r>
        <w:rPr>
          <w:rFonts w:cs="AdvOT2e364b11"/>
          <w:szCs w:val="20"/>
        </w:rPr>
        <w:t>-s</w:t>
      </w:r>
      <w:r w:rsidR="00B100FD">
        <w:rPr>
          <w:rFonts w:cs="AdvOT2e364b11"/>
          <w:szCs w:val="20"/>
        </w:rPr>
        <w:t>econd time-scale (Figure 7</w:t>
      </w:r>
      <w:r>
        <w:rPr>
          <w:rFonts w:cs="AdvOT2e364b11"/>
          <w:szCs w:val="20"/>
        </w:rPr>
        <w:t xml:space="preserve">a). These oscillations result in a broad </w:t>
      </w:r>
      <w:r w:rsidR="00B100FD">
        <w:rPr>
          <w:rFonts w:cs="AdvOT2e364b11"/>
          <w:szCs w:val="20"/>
        </w:rPr>
        <w:t>BP in the 1-9meV range (Figure 7</w:t>
      </w:r>
      <w:r>
        <w:rPr>
          <w:rFonts w:cs="AdvOT2e364b11"/>
          <w:szCs w:val="20"/>
        </w:rPr>
        <w:t xml:space="preserve">b). Having observed a BP in our simulations, our future goals include the generation of a </w:t>
      </w:r>
      <w:proofErr w:type="spellStart"/>
      <w:r>
        <w:rPr>
          <w:rFonts w:cs="AdvOT2e364b11"/>
          <w:szCs w:val="20"/>
        </w:rPr>
        <w:t>pE</w:t>
      </w:r>
      <w:proofErr w:type="spellEnd"/>
      <w:r>
        <w:rPr>
          <w:rFonts w:cs="AdvOT2e364b11"/>
          <w:szCs w:val="20"/>
        </w:rPr>
        <w:t xml:space="preserve"> melt system as well as the identification of the force-field parameters that will give rise to a change in the topology of the simulated system with changes in the environment.</w:t>
      </w:r>
    </w:p>
    <w:p w:rsidR="008F513D" w:rsidRPr="00633844" w:rsidRDefault="008F513D" w:rsidP="00D5683C">
      <w:pPr>
        <w:spacing w:line="240" w:lineRule="auto"/>
        <w:rPr>
          <w:b/>
        </w:rPr>
      </w:pPr>
    </w:p>
    <w:bookmarkEnd w:id="1"/>
    <w:p w:rsidR="00D94E98" w:rsidRPr="00D94E98" w:rsidRDefault="000647DE" w:rsidP="00D94E98">
      <w:pPr>
        <w:spacing w:after="0" w:line="240" w:lineRule="auto"/>
        <w:rPr>
          <w:b/>
        </w:rPr>
      </w:pPr>
      <w:r>
        <w:rPr>
          <w:b/>
        </w:rPr>
        <w:t xml:space="preserve">1.3 </w:t>
      </w:r>
      <w:r w:rsidR="00D94E98" w:rsidRPr="00D94E98">
        <w:rPr>
          <w:b/>
        </w:rPr>
        <w:t>Water Adsorption to Barite Surfaces</w:t>
      </w:r>
    </w:p>
    <w:p w:rsidR="00D94E98" w:rsidRDefault="00D94E98" w:rsidP="00D94E98">
      <w:pPr>
        <w:spacing w:after="0" w:line="240" w:lineRule="auto"/>
      </w:pPr>
    </w:p>
    <w:p w:rsidR="00D94E98" w:rsidRDefault="002562C1" w:rsidP="00D94E98">
      <w:pPr>
        <w:spacing w:after="0" w:line="240" w:lineRule="auto"/>
      </w:pPr>
      <w:r>
        <w:t xml:space="preserve">SNS user: </w:t>
      </w:r>
      <w:r w:rsidR="00D94E98">
        <w:t>Andrew Stack</w:t>
      </w:r>
      <w:r>
        <w:t>, Chemical Sciences Division, ORNL – BASIS experiment</w:t>
      </w:r>
      <w:r>
        <w:br/>
        <w:t>CAMM contacts: Jose Borreguero and Mark Hagen</w:t>
      </w:r>
      <w:r w:rsidR="00D94E98">
        <w:t xml:space="preserve"> </w:t>
      </w:r>
    </w:p>
    <w:p w:rsidR="00D94E98" w:rsidRDefault="00D94E98" w:rsidP="00D94E98">
      <w:pPr>
        <w:spacing w:after="0" w:line="240" w:lineRule="auto"/>
      </w:pPr>
    </w:p>
    <w:p w:rsidR="00825B3F" w:rsidRDefault="00D94E98" w:rsidP="00D94E98">
      <w:pPr>
        <w:spacing w:after="0" w:line="240" w:lineRule="auto"/>
        <w:jc w:val="both"/>
      </w:pPr>
      <w:r>
        <w:t xml:space="preserve">Experimental determination of water exchange rates with mineral surfaces are difficult to obtain, often yielding </w:t>
      </w:r>
      <w:r w:rsidR="00825B3F">
        <w:t>ambiguous</w:t>
      </w:r>
      <w:r>
        <w:t xml:space="preserve"> results</w:t>
      </w:r>
      <w:r w:rsidR="001301B7">
        <w:t xml:space="preserve"> [6]</w:t>
      </w:r>
      <w:r>
        <w:t xml:space="preserve">, yet these rates are fundamental in the understanding of related processes such as mineral dissolution and growth. </w:t>
      </w:r>
      <w:r w:rsidR="00825B3F">
        <w:t>The aim is to reproduce</w:t>
      </w:r>
      <w:r>
        <w:t xml:space="preserve"> the </w:t>
      </w:r>
      <w:proofErr w:type="spellStart"/>
      <w:r>
        <w:t>quasielastic</w:t>
      </w:r>
      <w:proofErr w:type="spellEnd"/>
      <w:r>
        <w:t xml:space="preserve"> neutron scattering experiments taken from Barite (BaSO</w:t>
      </w:r>
      <w:r w:rsidRPr="00980304">
        <w:rPr>
          <w:vertAlign w:val="subscript"/>
        </w:rPr>
        <w:t>4</w:t>
      </w:r>
      <w:r>
        <w:t>) sa</w:t>
      </w:r>
      <w:r w:rsidR="00825B3F">
        <w:t xml:space="preserve">mples at the BASIS </w:t>
      </w:r>
      <w:proofErr w:type="spellStart"/>
      <w:r w:rsidR="00825B3F">
        <w:t>beamline</w:t>
      </w:r>
      <w:proofErr w:type="spellEnd"/>
      <w:r>
        <w:t>. The simulated system is composed of a Barite cube solvated with water molecules on two opposite sides, and simulated with a LAMMP</w:t>
      </w:r>
      <w:r w:rsidR="00B100FD">
        <w:t>S force-field (Figure 8</w:t>
      </w:r>
      <w:r w:rsidR="00825B3F">
        <w:t xml:space="preserve">a). It should be noted that Andrew Stack is an experienced user of MD simulation and already had LAMMPS results that could be used. </w:t>
      </w:r>
    </w:p>
    <w:p w:rsidR="00825B3F" w:rsidRDefault="00825B3F" w:rsidP="00D94E98">
      <w:pPr>
        <w:spacing w:after="0" w:line="240" w:lineRule="auto"/>
        <w:jc w:val="both"/>
      </w:pPr>
    </w:p>
    <w:p w:rsidR="00D94E98" w:rsidRDefault="00825B3F" w:rsidP="00D94E98">
      <w:pPr>
        <w:spacing w:after="0" w:line="240" w:lineRule="auto"/>
        <w:jc w:val="both"/>
      </w:pPr>
      <w:r>
        <w:t>The f</w:t>
      </w:r>
      <w:r w:rsidR="00D94E98">
        <w:t>it of the simulated structure factor to experimental data at room tem</w:t>
      </w:r>
      <w:r w:rsidR="00B100FD">
        <w:t>peratures is excellent (Figure 8</w:t>
      </w:r>
      <w:r w:rsidR="00D94E98">
        <w:t>b). This validation of the simulated system allows us to address the wealth of atomistic information provided by the simulation in order to present a detailed picture of water adsorption, such as the distribution of residence times by the water molecules on the mineral surface. Our next goal is to expand the fit to encompass a wide range of temperatures and in this way being able to describe the thermal activation of water desorption.</w:t>
      </w:r>
    </w:p>
    <w:p w:rsidR="00D94E98" w:rsidRPr="00C65155" w:rsidRDefault="00D94E98" w:rsidP="00D94E98">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5471"/>
      </w:tblGrid>
      <w:tr w:rsidR="00D94E98" w:rsidTr="00D94E98">
        <w:tc>
          <w:tcPr>
            <w:tcW w:w="4825" w:type="dxa"/>
          </w:tcPr>
          <w:p w:rsidR="00D94E98" w:rsidRDefault="00D94E98" w:rsidP="00D94E98">
            <w:pPr>
              <w:jc w:val="center"/>
            </w:pPr>
            <w:r>
              <w:t>(a)</w:t>
            </w:r>
          </w:p>
          <w:p w:rsidR="00D94E98" w:rsidRDefault="00D94E98" w:rsidP="00D94E98">
            <w:pPr>
              <w:jc w:val="center"/>
            </w:pPr>
            <w:r>
              <w:rPr>
                <w:rFonts w:ascii="Calibri" w:hAnsi="Calibri" w:cs="Calibri"/>
                <w:noProof/>
                <w:sz w:val="20"/>
              </w:rPr>
              <w:drawing>
                <wp:inline distT="0" distB="0" distL="0" distR="0">
                  <wp:extent cx="1956816" cy="2286000"/>
                  <wp:effectExtent l="76200" t="76200" r="13906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_wrapped.png"/>
                          <pic:cNvPicPr/>
                        </pic:nvPicPr>
                        <pic:blipFill rotWithShape="1">
                          <a:blip r:embed="rId21" cstate="print">
                            <a:extLst>
                              <a:ext uri="{28A0092B-C50C-407E-A947-70E740481C1C}">
                                <a14:useLocalDpi xmlns:a14="http://schemas.microsoft.com/office/drawing/2010/main" val="0"/>
                              </a:ext>
                            </a:extLst>
                          </a:blip>
                          <a:srcRect l="7632" t="3624" r="6677" b="5214"/>
                          <a:stretch/>
                        </pic:blipFill>
                        <pic:spPr bwMode="auto">
                          <a:xfrm>
                            <a:off x="0" y="0"/>
                            <a:ext cx="1956816"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471" w:type="dxa"/>
          </w:tcPr>
          <w:p w:rsidR="00D94E98" w:rsidRDefault="00D94E98" w:rsidP="00D94E98">
            <w:pPr>
              <w:jc w:val="center"/>
            </w:pPr>
            <w:r>
              <w:t>(b)</w:t>
            </w:r>
          </w:p>
          <w:p w:rsidR="00D94E98" w:rsidRDefault="00D94E98" w:rsidP="00D94E98">
            <w:pPr>
              <w:jc w:val="center"/>
            </w:pPr>
            <w:r w:rsidRPr="00C65155">
              <w:rPr>
                <w:noProof/>
              </w:rPr>
              <w:drawing>
                <wp:inline distT="0" distB="0" distL="0" distR="0">
                  <wp:extent cx="3264408" cy="2286000"/>
                  <wp:effectExtent l="19050" t="19050" r="12700" b="19050"/>
                  <wp:docPr id="16" name="Picture 2" descr="C:\Users\h3n\Documents\MGI-PI Meeting\Andrew Stack\fit_Qintegrated_log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h3n\Documents\MGI-PI Meeting\Andrew Stack\fit_Qintegrated_logY.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4408" cy="2286000"/>
                          </a:xfrm>
                          <a:prstGeom prst="rect">
                            <a:avLst/>
                          </a:prstGeom>
                          <a:noFill/>
                          <a:ln>
                            <a:solidFill>
                              <a:schemeClr val="tx1"/>
                            </a:solidFill>
                          </a:ln>
                          <a:extLst/>
                        </pic:spPr>
                      </pic:pic>
                    </a:graphicData>
                  </a:graphic>
                </wp:inline>
              </w:drawing>
            </w:r>
          </w:p>
        </w:tc>
      </w:tr>
      <w:tr w:rsidR="00D94E98" w:rsidTr="00D94E98">
        <w:tc>
          <w:tcPr>
            <w:tcW w:w="10296" w:type="dxa"/>
            <w:gridSpan w:val="2"/>
          </w:tcPr>
          <w:p w:rsidR="00D94E98" w:rsidRDefault="00B100FD" w:rsidP="00D94E98">
            <w:r>
              <w:t>Figure 8</w:t>
            </w:r>
            <w:r w:rsidR="00D94E98">
              <w:t xml:space="preserve">. Water </w:t>
            </w:r>
            <w:proofErr w:type="spellStart"/>
            <w:r w:rsidR="00D94E98">
              <w:t>adsoption</w:t>
            </w:r>
            <w:proofErr w:type="spellEnd"/>
            <w:r w:rsidR="00D94E98">
              <w:t xml:space="preserve"> to BaSO</w:t>
            </w:r>
            <w:r w:rsidR="00D94E98" w:rsidRPr="00C65155">
              <w:rPr>
                <w:vertAlign w:val="subscript"/>
              </w:rPr>
              <w:t>4</w:t>
            </w:r>
            <w:r w:rsidR="00D94E98">
              <w:t>. (a) Water molecules adsorbed to two opposite sides of a BaSO</w:t>
            </w:r>
            <w:r w:rsidR="00D94E98" w:rsidRPr="008A5A88">
              <w:rPr>
                <w:vertAlign w:val="subscript"/>
              </w:rPr>
              <w:t>4</w:t>
            </w:r>
            <w:r w:rsidR="00D94E98">
              <w:t xml:space="preserve"> cube. (b) Fit of the simulated incoherent structure factor of the water molecules to QENS experiments.</w:t>
            </w:r>
          </w:p>
        </w:tc>
      </w:tr>
    </w:tbl>
    <w:p w:rsidR="006151F7" w:rsidRDefault="006151F7" w:rsidP="00D91F28">
      <w:pPr>
        <w:spacing w:line="240" w:lineRule="auto"/>
        <w:rPr>
          <w:b/>
        </w:rPr>
      </w:pPr>
    </w:p>
    <w:p w:rsidR="003205DB" w:rsidRDefault="003205DB">
      <w:pPr>
        <w:rPr>
          <w:b/>
        </w:rPr>
      </w:pPr>
      <w:r>
        <w:rPr>
          <w:b/>
        </w:rPr>
        <w:br w:type="page"/>
      </w:r>
    </w:p>
    <w:p w:rsidR="003A4DD6" w:rsidRPr="003A4DD6" w:rsidRDefault="00AB43AC" w:rsidP="00AB43AC">
      <w:pPr>
        <w:rPr>
          <w:b/>
        </w:rPr>
      </w:pPr>
      <w:r>
        <w:rPr>
          <w:b/>
        </w:rPr>
        <w:lastRenderedPageBreak/>
        <w:t xml:space="preserve">2.0 </w:t>
      </w:r>
      <w:r w:rsidR="00A45E6E">
        <w:rPr>
          <w:b/>
        </w:rPr>
        <w:t>Coarse grained simulations of polymer electrolyte</w:t>
      </w:r>
      <w:r w:rsidR="003A4DD6" w:rsidRPr="003A4DD6">
        <w:rPr>
          <w:b/>
        </w:rPr>
        <w:t xml:space="preserve"> Polyethylene Oxide-Acrylic Acid</w:t>
      </w:r>
    </w:p>
    <w:p w:rsidR="00F87B64" w:rsidRPr="00F87B64" w:rsidRDefault="00F87B64" w:rsidP="00D745CF">
      <w:pPr>
        <w:spacing w:after="0" w:line="240" w:lineRule="auto"/>
        <w:jc w:val="both"/>
      </w:pPr>
      <w:r>
        <w:t>CAMM staff: Bobby Sumpter and Mo</w:t>
      </w:r>
      <w:r>
        <w:t>nojoy Goswami</w:t>
      </w:r>
    </w:p>
    <w:p w:rsidR="00F87B64" w:rsidRDefault="00F87B64" w:rsidP="00D745CF">
      <w:pPr>
        <w:spacing w:after="0" w:line="240" w:lineRule="auto"/>
        <w:jc w:val="both"/>
        <w:rPr>
          <w:rFonts w:cs="Times New Roman"/>
        </w:rPr>
      </w:pPr>
    </w:p>
    <w:p w:rsidR="009310F3" w:rsidRDefault="009310F3" w:rsidP="00D745CF">
      <w:pPr>
        <w:spacing w:after="0" w:line="240" w:lineRule="auto"/>
        <w:jc w:val="both"/>
        <w:rPr>
          <w:rFonts w:cs="Times New Roman"/>
        </w:rPr>
      </w:pPr>
      <w:r w:rsidRPr="009C1B66">
        <w:rPr>
          <w:rFonts w:cs="Times New Roman"/>
        </w:rPr>
        <w:t xml:space="preserve">Polymer electrolyte batteries are considered to be the next generation power sources for portable electronics. In this project we </w:t>
      </w:r>
      <w:r w:rsidR="00FE479E">
        <w:rPr>
          <w:rFonts w:cs="Times New Roman"/>
        </w:rPr>
        <w:t xml:space="preserve">wish </w:t>
      </w:r>
      <w:r w:rsidRPr="009C1B66">
        <w:rPr>
          <w:rFonts w:cs="Times New Roman"/>
        </w:rPr>
        <w:t>to understand the charge and counter</w:t>
      </w:r>
      <w:r w:rsidR="00FE479E">
        <w:rPr>
          <w:rFonts w:cs="Times New Roman"/>
        </w:rPr>
        <w:t xml:space="preserve"> </w:t>
      </w:r>
      <w:r w:rsidRPr="009C1B66">
        <w:rPr>
          <w:rFonts w:cs="Times New Roman"/>
        </w:rPr>
        <w:t xml:space="preserve">ion transfer in polymer electrolyte batteries which is responsible for higher current density. Polymer electrolyte batteries also show a lower heat generation compared </w:t>
      </w:r>
      <w:r w:rsidR="00225E95">
        <w:rPr>
          <w:rFonts w:cs="Times New Roman"/>
        </w:rPr>
        <w:t xml:space="preserve">to </w:t>
      </w:r>
      <w:r w:rsidRPr="009C1B66">
        <w:rPr>
          <w:rFonts w:cs="Times New Roman"/>
        </w:rPr>
        <w:t xml:space="preserve">organic Li-ion batteries that are available currently. The material that is used for this purpose is also known as </w:t>
      </w:r>
      <w:proofErr w:type="spellStart"/>
      <w:r w:rsidRPr="009C1B66">
        <w:rPr>
          <w:rFonts w:cs="Times New Roman"/>
        </w:rPr>
        <w:t>ionomer</w:t>
      </w:r>
      <w:proofErr w:type="spellEnd"/>
      <w:r w:rsidRPr="009C1B66">
        <w:rPr>
          <w:rFonts w:cs="Times New Roman"/>
        </w:rPr>
        <w:t xml:space="preserve"> electrolyte for the very low charge density on the backbone of the polymer chain. </w:t>
      </w:r>
    </w:p>
    <w:p w:rsidR="00FE479E" w:rsidRDefault="00FE479E" w:rsidP="00D5683C">
      <w:pPr>
        <w:spacing w:after="0" w:line="240" w:lineRule="auto"/>
        <w:jc w:val="both"/>
        <w:rPr>
          <w:rFonts w:cs="Times New Roman"/>
        </w:rPr>
      </w:pPr>
    </w:p>
    <w:p w:rsidR="00FE479E" w:rsidRDefault="00F566BE" w:rsidP="00D5683C">
      <w:pPr>
        <w:spacing w:after="0" w:line="240" w:lineRule="auto"/>
        <w:jc w:val="both"/>
        <w:rPr>
          <w:rFonts w:cs="Times New Roman"/>
        </w:rPr>
      </w:pPr>
      <w:r>
        <w:rPr>
          <w:rFonts w:cs="Times New Roman"/>
        </w:rPr>
        <w:t>W</w:t>
      </w:r>
      <w:r w:rsidR="00FE479E" w:rsidRPr="009C1B66">
        <w:rPr>
          <w:rFonts w:cs="Times New Roman"/>
        </w:rPr>
        <w:t xml:space="preserve">e </w:t>
      </w:r>
      <w:r>
        <w:rPr>
          <w:rFonts w:cs="Times New Roman"/>
        </w:rPr>
        <w:t xml:space="preserve">have </w:t>
      </w:r>
      <w:r w:rsidR="00FE479E" w:rsidRPr="009C1B66">
        <w:rPr>
          <w:rFonts w:cs="Times New Roman"/>
        </w:rPr>
        <w:t>perform</w:t>
      </w:r>
      <w:r>
        <w:rPr>
          <w:rFonts w:cs="Times New Roman"/>
        </w:rPr>
        <w:t>ed</w:t>
      </w:r>
      <w:r w:rsidR="00FE479E" w:rsidRPr="009C1B66">
        <w:rPr>
          <w:rFonts w:cs="Times New Roman"/>
        </w:rPr>
        <w:t xml:space="preserve"> coarse-grain Molecular</w:t>
      </w:r>
      <w:r w:rsidR="00FE479E" w:rsidRPr="009C1B66">
        <w:rPr>
          <w:rFonts w:eastAsia="Liberation Serif" w:cs="Times New Roman"/>
        </w:rPr>
        <w:t xml:space="preserve"> </w:t>
      </w:r>
      <w:r w:rsidR="00FE479E" w:rsidRPr="009C1B66">
        <w:rPr>
          <w:rFonts w:cs="Times New Roman"/>
        </w:rPr>
        <w:t>Dynamics</w:t>
      </w:r>
      <w:r w:rsidR="00FE479E" w:rsidRPr="009C1B66">
        <w:rPr>
          <w:rFonts w:eastAsia="Liberation Serif" w:cs="Times New Roman"/>
        </w:rPr>
        <w:t xml:space="preserve"> </w:t>
      </w:r>
      <w:r w:rsidR="00FE479E" w:rsidRPr="009C1B66">
        <w:rPr>
          <w:rFonts w:cs="Times New Roman"/>
        </w:rPr>
        <w:t>(MD)</w:t>
      </w:r>
      <w:r w:rsidR="00FE479E" w:rsidRPr="009C1B66">
        <w:rPr>
          <w:rFonts w:eastAsia="Liberation Serif" w:cs="Times New Roman"/>
        </w:rPr>
        <w:t xml:space="preserve"> </w:t>
      </w:r>
      <w:r w:rsidR="00FE479E" w:rsidRPr="009C1B66">
        <w:rPr>
          <w:rFonts w:cs="Times New Roman"/>
        </w:rPr>
        <w:t>simulation</w:t>
      </w:r>
      <w:r>
        <w:rPr>
          <w:rFonts w:cs="Times New Roman"/>
        </w:rPr>
        <w:t>s, in which sections of the polymer are modeled as “units”,</w:t>
      </w:r>
      <w:r w:rsidR="00FE479E" w:rsidRPr="009C1B66">
        <w:rPr>
          <w:rFonts w:eastAsia="Liberation Serif" w:cs="Times New Roman"/>
        </w:rPr>
        <w:t xml:space="preserve"> </w:t>
      </w:r>
      <w:r w:rsidR="00FE479E" w:rsidRPr="009C1B66">
        <w:rPr>
          <w:rFonts w:cs="Times New Roman"/>
        </w:rPr>
        <w:t>to</w:t>
      </w:r>
      <w:r w:rsidR="00FE479E" w:rsidRPr="009C1B66">
        <w:rPr>
          <w:rFonts w:eastAsia="Liberation Serif" w:cs="Times New Roman"/>
        </w:rPr>
        <w:t xml:space="preserve"> </w:t>
      </w:r>
      <w:r w:rsidR="00FE479E" w:rsidRPr="009C1B66">
        <w:rPr>
          <w:rFonts w:cs="Times New Roman"/>
        </w:rPr>
        <w:t>understand the</w:t>
      </w:r>
      <w:r w:rsidR="00FE479E" w:rsidRPr="009C1B66">
        <w:rPr>
          <w:rFonts w:eastAsia="Liberation Serif" w:cs="Times New Roman"/>
        </w:rPr>
        <w:t xml:space="preserve"> </w:t>
      </w:r>
      <w:r w:rsidR="00FE479E" w:rsidRPr="009C1B66">
        <w:rPr>
          <w:rFonts w:cs="Times New Roman"/>
        </w:rPr>
        <w:t>effect</w:t>
      </w:r>
      <w:r w:rsidR="00FE479E" w:rsidRPr="009C1B66">
        <w:rPr>
          <w:rFonts w:eastAsia="Liberation Serif" w:cs="Times New Roman"/>
        </w:rPr>
        <w:t xml:space="preserve"> </w:t>
      </w:r>
      <w:r w:rsidR="00FE479E" w:rsidRPr="009C1B66">
        <w:rPr>
          <w:rFonts w:cs="Times New Roman"/>
        </w:rPr>
        <w:t>of</w:t>
      </w:r>
      <w:r w:rsidR="00FE479E" w:rsidRPr="009C1B66">
        <w:rPr>
          <w:rFonts w:eastAsia="Liberation Serif" w:cs="Times New Roman"/>
        </w:rPr>
        <w:t xml:space="preserve"> </w:t>
      </w:r>
      <w:r w:rsidR="00FE479E" w:rsidRPr="009C1B66">
        <w:rPr>
          <w:rFonts w:cs="Times New Roman"/>
        </w:rPr>
        <w:t>dielectric</w:t>
      </w:r>
      <w:r w:rsidR="00FE479E" w:rsidRPr="009C1B66">
        <w:rPr>
          <w:rFonts w:eastAsia="Liberation Serif" w:cs="Times New Roman"/>
        </w:rPr>
        <w:t xml:space="preserve"> </w:t>
      </w:r>
      <w:r w:rsidR="00FE479E" w:rsidRPr="009C1B66">
        <w:rPr>
          <w:rFonts w:cs="Times New Roman"/>
        </w:rPr>
        <w:t>constant</w:t>
      </w:r>
      <w:r w:rsidR="00FE479E" w:rsidRPr="009C1B66">
        <w:rPr>
          <w:rFonts w:eastAsia="Liberation Serif" w:cs="Times New Roman"/>
        </w:rPr>
        <w:t xml:space="preserve"> </w:t>
      </w:r>
      <w:r w:rsidR="00FE479E" w:rsidRPr="009C1B66">
        <w:rPr>
          <w:rFonts w:cs="Times New Roman"/>
        </w:rPr>
        <w:t>on</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w:t>
      </w:r>
      <w:proofErr w:type="spellStart"/>
      <w:r w:rsidR="00FE479E" w:rsidRPr="009C1B66">
        <w:rPr>
          <w:rFonts w:cs="Times New Roman"/>
        </w:rPr>
        <w:t>microphase</w:t>
      </w:r>
      <w:proofErr w:type="spellEnd"/>
      <w:r w:rsidR="00FE479E" w:rsidRPr="009C1B66">
        <w:rPr>
          <w:rFonts w:eastAsia="Liberation Serif" w:cs="Times New Roman"/>
        </w:rPr>
        <w:t xml:space="preserve"> </w:t>
      </w:r>
      <w:r w:rsidR="00FE479E" w:rsidRPr="009C1B66">
        <w:rPr>
          <w:rFonts w:cs="Times New Roman"/>
        </w:rPr>
        <w:t xml:space="preserve">separation </w:t>
      </w:r>
      <w:r w:rsidR="00FE479E" w:rsidRPr="009C1B66">
        <w:rPr>
          <w:rFonts w:eastAsia="Liberation Serif" w:cs="Times New Roman"/>
        </w:rPr>
        <w:t>of</w:t>
      </w:r>
      <w:r w:rsidR="00FE479E">
        <w:rPr>
          <w:rFonts w:eastAsia="Liberation Serif" w:cs="Times New Roman"/>
        </w:rPr>
        <w:t>,</w:t>
      </w:r>
      <w:r w:rsidR="00FE479E" w:rsidRPr="009C1B66">
        <w:rPr>
          <w:rFonts w:eastAsia="Liberation Serif" w:cs="Times New Roman"/>
        </w:rPr>
        <w:t xml:space="preserve"> </w:t>
      </w:r>
      <w:r w:rsidR="00FE479E" w:rsidRPr="009C1B66">
        <w:rPr>
          <w:rFonts w:cs="Times New Roman"/>
        </w:rPr>
        <w:t>and</w:t>
      </w:r>
      <w:r w:rsidR="00FE479E" w:rsidRPr="009C1B66">
        <w:rPr>
          <w:rFonts w:eastAsia="Liberation Serif" w:cs="Times New Roman"/>
        </w:rPr>
        <w:t xml:space="preserve"> </w:t>
      </w:r>
      <w:r w:rsidR="00FE479E" w:rsidRPr="009C1B66">
        <w:rPr>
          <w:rFonts w:cs="Times New Roman"/>
        </w:rPr>
        <w:t>counter</w:t>
      </w:r>
      <w:r w:rsidR="00FE479E">
        <w:rPr>
          <w:rFonts w:cs="Times New Roman"/>
        </w:rPr>
        <w:t xml:space="preserve"> </w:t>
      </w:r>
      <w:r w:rsidR="00FE479E" w:rsidRPr="009C1B66">
        <w:rPr>
          <w:rFonts w:cs="Times New Roman"/>
        </w:rPr>
        <w:t>ion</w:t>
      </w:r>
      <w:r w:rsidR="00FE479E" w:rsidRPr="009C1B66">
        <w:rPr>
          <w:rFonts w:eastAsia="Liberation Serif" w:cs="Times New Roman"/>
        </w:rPr>
        <w:t xml:space="preserve"> </w:t>
      </w:r>
      <w:r w:rsidR="00FE479E" w:rsidRPr="009C1B66">
        <w:rPr>
          <w:rFonts w:cs="Times New Roman"/>
        </w:rPr>
        <w:t>transport</w:t>
      </w:r>
      <w:r w:rsidR="00FE479E" w:rsidRPr="009C1B66">
        <w:rPr>
          <w:rFonts w:eastAsia="Liberation Serif" w:cs="Times New Roman"/>
        </w:rPr>
        <w:t xml:space="preserve"> </w:t>
      </w:r>
      <w:r w:rsidR="00FE479E" w:rsidRPr="009C1B66">
        <w:rPr>
          <w:rFonts w:cs="Times New Roman"/>
        </w:rPr>
        <w:t>of</w:t>
      </w:r>
      <w:r w:rsidR="00FE479E">
        <w:rPr>
          <w:rFonts w:cs="Times New Roman"/>
        </w:rPr>
        <w:t>,</w:t>
      </w:r>
      <w:r w:rsidR="00FE479E" w:rsidRPr="009C1B66">
        <w:rPr>
          <w:rFonts w:eastAsia="Liberation Serif" w:cs="Times New Roman"/>
        </w:rPr>
        <w:t xml:space="preserve"> </w:t>
      </w:r>
      <w:proofErr w:type="spellStart"/>
      <w:r w:rsidR="00FE479E" w:rsidRPr="009C1B66">
        <w:rPr>
          <w:rFonts w:cs="Times New Roman"/>
        </w:rPr>
        <w:t>ionomer</w:t>
      </w:r>
      <w:proofErr w:type="spellEnd"/>
      <w:r w:rsidR="00FE479E" w:rsidRPr="009C1B66">
        <w:rPr>
          <w:rFonts w:eastAsia="Liberation Serif" w:cs="Times New Roman"/>
        </w:rPr>
        <w:t xml:space="preserve"> </w:t>
      </w:r>
      <w:r w:rsidR="00225E95">
        <w:rPr>
          <w:rFonts w:cs="Times New Roman"/>
        </w:rPr>
        <w:t>electrolytes</w:t>
      </w:r>
      <w:r w:rsidR="00FE479E" w:rsidRPr="009C1B66">
        <w:rPr>
          <w:rFonts w:cs="Times New Roman"/>
        </w:rPr>
        <w:t>.</w:t>
      </w:r>
      <w:r w:rsidR="00FE479E" w:rsidRPr="009C1B66">
        <w:rPr>
          <w:rFonts w:eastAsia="Liberation Serif" w:cs="Times New Roman"/>
        </w:rPr>
        <w:t xml:space="preserve">  We </w:t>
      </w:r>
      <w:r>
        <w:rPr>
          <w:rFonts w:eastAsia="Liberation Serif" w:cs="Times New Roman"/>
        </w:rPr>
        <w:t xml:space="preserve">have </w:t>
      </w:r>
      <w:r w:rsidR="00FE479E" w:rsidRPr="009C1B66">
        <w:rPr>
          <w:rFonts w:eastAsia="Liberation Serif" w:cs="Times New Roman"/>
        </w:rPr>
        <w:t xml:space="preserve">mainly </w:t>
      </w:r>
      <w:r w:rsidR="00FE479E" w:rsidRPr="009C1B66">
        <w:rPr>
          <w:rFonts w:cs="Times New Roman"/>
        </w:rPr>
        <w:t>focus</w:t>
      </w:r>
      <w:r>
        <w:rPr>
          <w:rFonts w:cs="Times New Roman"/>
        </w:rPr>
        <w:t>ed</w:t>
      </w:r>
      <w:r w:rsidR="00FE479E" w:rsidRPr="009C1B66">
        <w:rPr>
          <w:rFonts w:cs="Times New Roman"/>
        </w:rPr>
        <w:t xml:space="preserve"> on</w:t>
      </w:r>
      <w:r w:rsidR="00FE479E" w:rsidRPr="009C1B66">
        <w:rPr>
          <w:rFonts w:eastAsia="Liberation Serif" w:cs="Times New Roman"/>
        </w:rPr>
        <w:t xml:space="preserve"> </w:t>
      </w:r>
      <w:r w:rsidR="00FE479E" w:rsidRPr="009C1B66">
        <w:rPr>
          <w:rFonts w:cs="Times New Roman"/>
        </w:rPr>
        <w:t>charge</w:t>
      </w:r>
      <w:r w:rsidR="00FE479E" w:rsidRPr="009C1B66">
        <w:rPr>
          <w:rFonts w:eastAsia="Liberation Serif" w:cs="Times New Roman"/>
        </w:rPr>
        <w:t xml:space="preserve"> </w:t>
      </w:r>
      <w:r w:rsidR="00FE479E" w:rsidRPr="009C1B66">
        <w:rPr>
          <w:rFonts w:cs="Times New Roman"/>
        </w:rPr>
        <w:t>dynamics</w:t>
      </w:r>
      <w:r w:rsidR="00FE479E" w:rsidRPr="009C1B66">
        <w:rPr>
          <w:rFonts w:eastAsia="Liberation Serif" w:cs="Times New Roman"/>
        </w:rPr>
        <w:t xml:space="preserve"> </w:t>
      </w:r>
      <w:r w:rsidR="00FE479E" w:rsidRPr="009C1B66">
        <w:rPr>
          <w:rFonts w:cs="Times New Roman"/>
        </w:rPr>
        <w:t>of</w:t>
      </w:r>
      <w:r>
        <w:rPr>
          <w:rFonts w:eastAsia="Liberation Serif" w:cs="Times New Roman"/>
        </w:rPr>
        <w:t xml:space="preserve"> </w:t>
      </w:r>
      <w:r w:rsidR="00FE479E" w:rsidRPr="009C1B66">
        <w:rPr>
          <w:rFonts w:cs="Times New Roman"/>
        </w:rPr>
        <w:t>precisely</w:t>
      </w:r>
      <w:r w:rsidR="00FE479E" w:rsidRPr="009C1B66">
        <w:rPr>
          <w:rFonts w:eastAsia="Liberation Serif" w:cs="Times New Roman"/>
        </w:rPr>
        <w:t xml:space="preserve"> </w:t>
      </w:r>
      <w:r w:rsidR="00FE479E" w:rsidRPr="009C1B66">
        <w:rPr>
          <w:rFonts w:cs="Times New Roman"/>
        </w:rPr>
        <w:t>placed</w:t>
      </w:r>
      <w:r w:rsidR="00FE479E" w:rsidRPr="009C1B66">
        <w:rPr>
          <w:rFonts w:eastAsia="Liberation Serif" w:cs="Times New Roman"/>
        </w:rPr>
        <w:t xml:space="preserve"> </w:t>
      </w:r>
      <w:r w:rsidR="00FE479E" w:rsidRPr="009C1B66">
        <w:rPr>
          <w:rFonts w:cs="Times New Roman"/>
        </w:rPr>
        <w:t xml:space="preserve">model </w:t>
      </w:r>
      <w:proofErr w:type="spellStart"/>
      <w:r w:rsidR="00FE479E" w:rsidRPr="009C1B66">
        <w:rPr>
          <w:rFonts w:cs="Times New Roman"/>
        </w:rPr>
        <w:t>ionomers</w:t>
      </w:r>
      <w:proofErr w:type="spellEnd"/>
      <w:r w:rsidR="00FE479E" w:rsidRPr="009C1B66">
        <w:rPr>
          <w:rFonts w:cs="Times New Roman"/>
        </w:rPr>
        <w:t>.</w:t>
      </w:r>
      <w:r w:rsidR="00FE479E" w:rsidRPr="009C1B66">
        <w:rPr>
          <w:rFonts w:eastAsia="Liberation Serif" w:cs="Times New Roman"/>
        </w:rPr>
        <w:t xml:space="preserve"> </w:t>
      </w:r>
      <w:r w:rsidR="00FE479E" w:rsidRPr="009C1B66">
        <w:rPr>
          <w:rFonts w:cs="Times New Roman"/>
        </w:rPr>
        <w:t>At</w:t>
      </w:r>
      <w:r w:rsidR="00FE479E" w:rsidRPr="009C1B66">
        <w:rPr>
          <w:rFonts w:eastAsia="Liberation Serif" w:cs="Times New Roman"/>
        </w:rPr>
        <w:t xml:space="preserve"> </w:t>
      </w:r>
      <w:r w:rsidR="00FE479E" w:rsidRPr="009C1B66">
        <w:rPr>
          <w:rFonts w:cs="Times New Roman"/>
        </w:rPr>
        <w:t>low</w:t>
      </w:r>
      <w:r w:rsidR="00FE479E" w:rsidRPr="009C1B66">
        <w:rPr>
          <w:rFonts w:eastAsia="Liberation Serif" w:cs="Times New Roman"/>
        </w:rPr>
        <w:t xml:space="preserve"> </w:t>
      </w:r>
      <w:r w:rsidR="00FE479E" w:rsidRPr="009C1B66">
        <w:rPr>
          <w:rFonts w:cs="Times New Roman"/>
        </w:rPr>
        <w:t>dielectric</w:t>
      </w:r>
      <w:r w:rsidR="00FE479E" w:rsidRPr="009C1B66">
        <w:rPr>
          <w:rFonts w:eastAsia="Liberation Serif" w:cs="Times New Roman"/>
        </w:rPr>
        <w:t xml:space="preserve"> </w:t>
      </w:r>
      <w:r w:rsidR="00FE479E" w:rsidRPr="009C1B66">
        <w:rPr>
          <w:rFonts w:cs="Times New Roman"/>
        </w:rPr>
        <w:t>constant,</w:t>
      </w:r>
      <w:r w:rsidR="00FE479E" w:rsidRPr="009C1B66">
        <w:rPr>
          <w:rFonts w:eastAsia="Liberation Serif" w:cs="Times New Roman"/>
        </w:rPr>
        <w:t xml:space="preserve"> </w:t>
      </w:r>
      <w:r w:rsidR="00FE479E" w:rsidRPr="009C1B66">
        <w:rPr>
          <w:rFonts w:cs="Times New Roman"/>
        </w:rPr>
        <w:t>due</w:t>
      </w:r>
      <w:r w:rsidR="00FE479E" w:rsidRPr="009C1B66">
        <w:rPr>
          <w:rFonts w:eastAsia="Liberation Serif" w:cs="Times New Roman"/>
        </w:rPr>
        <w:t xml:space="preserve"> </w:t>
      </w:r>
      <w:r w:rsidR="00FE479E" w:rsidRPr="009C1B66">
        <w:rPr>
          <w:rFonts w:cs="Times New Roman"/>
        </w:rPr>
        <w:t>to</w:t>
      </w:r>
      <w:r w:rsidR="00FE479E" w:rsidRPr="009C1B66">
        <w:rPr>
          <w:rFonts w:eastAsia="Liberation Serif" w:cs="Times New Roman"/>
        </w:rPr>
        <w:t xml:space="preserve"> </w:t>
      </w:r>
      <w:r w:rsidR="00FE479E" w:rsidRPr="009C1B66">
        <w:rPr>
          <w:rFonts w:cs="Times New Roman"/>
        </w:rPr>
        <w:t>strong</w:t>
      </w:r>
      <w:r w:rsidR="00FE479E" w:rsidRPr="009C1B66">
        <w:rPr>
          <w:rFonts w:eastAsia="Liberation Serif" w:cs="Times New Roman"/>
        </w:rPr>
        <w:t xml:space="preserve"> </w:t>
      </w:r>
      <w:r w:rsidR="00FE479E" w:rsidRPr="009C1B66">
        <w:rPr>
          <w:rFonts w:cs="Times New Roman"/>
        </w:rPr>
        <w:t>Coulomb</w:t>
      </w:r>
      <w:r w:rsidR="00FE479E" w:rsidRPr="009C1B66">
        <w:rPr>
          <w:rFonts w:eastAsia="Liberation Serif" w:cs="Times New Roman"/>
        </w:rPr>
        <w:t xml:space="preserve"> </w:t>
      </w:r>
      <w:r w:rsidR="00FE479E" w:rsidRPr="009C1B66">
        <w:rPr>
          <w:rFonts w:cs="Times New Roman"/>
        </w:rPr>
        <w:t>interactions</w:t>
      </w:r>
      <w:r w:rsidR="00FE479E" w:rsidRPr="009C1B66">
        <w:rPr>
          <w:rFonts w:eastAsia="Liberation Serif" w:cs="Times New Roman"/>
        </w:rPr>
        <w:t xml:space="preserve"> </w:t>
      </w:r>
      <w:r w:rsidR="00FE479E" w:rsidRPr="009C1B66">
        <w:rPr>
          <w:rFonts w:cs="Times New Roman"/>
        </w:rPr>
        <w:t>between</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w:t>
      </w:r>
      <w:r w:rsidR="00FE479E" w:rsidRPr="009C1B66">
        <w:rPr>
          <w:rFonts w:cs="Times New Roman"/>
        </w:rPr>
        <w:t>charges</w:t>
      </w:r>
      <w:r w:rsidR="00FE479E" w:rsidRPr="009C1B66">
        <w:rPr>
          <w:rFonts w:eastAsia="Liberation Serif" w:cs="Times New Roman"/>
        </w:rPr>
        <w:t xml:space="preserve"> </w:t>
      </w:r>
      <w:r w:rsidR="00FE479E" w:rsidRPr="009C1B66">
        <w:rPr>
          <w:rFonts w:cs="Times New Roman"/>
        </w:rPr>
        <w:t>and</w:t>
      </w:r>
      <w:r w:rsidR="00FE479E" w:rsidRPr="009C1B66">
        <w:rPr>
          <w:rFonts w:eastAsia="Liberation Serif" w:cs="Times New Roman"/>
        </w:rPr>
        <w:t xml:space="preserve"> </w:t>
      </w:r>
      <w:r w:rsidR="00FE479E" w:rsidRPr="009C1B66">
        <w:rPr>
          <w:rFonts w:cs="Times New Roman"/>
        </w:rPr>
        <w:t>counter</w:t>
      </w:r>
      <w:r w:rsidR="00FE479E">
        <w:rPr>
          <w:rFonts w:cs="Times New Roman"/>
        </w:rPr>
        <w:t xml:space="preserve"> </w:t>
      </w:r>
      <w:r w:rsidR="00FE479E" w:rsidRPr="009C1B66">
        <w:rPr>
          <w:rFonts w:cs="Times New Roman"/>
        </w:rPr>
        <w:t>ions, percolated</w:t>
      </w:r>
      <w:r w:rsidR="00FE479E" w:rsidRPr="009C1B66">
        <w:rPr>
          <w:rFonts w:eastAsia="Liberation Serif" w:cs="Times New Roman"/>
        </w:rPr>
        <w:t xml:space="preserve"> </w:t>
      </w:r>
      <w:r w:rsidR="00FE479E" w:rsidRPr="009C1B66">
        <w:rPr>
          <w:rFonts w:cs="Times New Roman"/>
        </w:rPr>
        <w:t>structures</w:t>
      </w:r>
      <w:r w:rsidR="00FE479E" w:rsidRPr="009C1B66">
        <w:rPr>
          <w:rFonts w:eastAsia="Liberation Serif" w:cs="Times New Roman"/>
        </w:rPr>
        <w:t xml:space="preserve"> have been observed in our small-scale MD simulations</w:t>
      </w:r>
      <w:r w:rsidR="00FE479E" w:rsidRPr="009C1B66">
        <w:rPr>
          <w:rFonts w:cs="Times New Roman"/>
        </w:rPr>
        <w:t>.</w:t>
      </w:r>
      <w:r w:rsidR="00FE479E" w:rsidRPr="009C1B66">
        <w:rPr>
          <w:rFonts w:eastAsia="Liberation Serif" w:cs="Times New Roman"/>
        </w:rPr>
        <w:t xml:space="preserve"> </w:t>
      </w:r>
      <w:r w:rsidR="00FE479E" w:rsidRPr="009C1B66">
        <w:rPr>
          <w:rFonts w:cs="Times New Roman"/>
        </w:rPr>
        <w:t>These</w:t>
      </w:r>
      <w:r w:rsidR="00FE479E" w:rsidRPr="009C1B66">
        <w:rPr>
          <w:rFonts w:eastAsia="Liberation Serif" w:cs="Times New Roman"/>
        </w:rPr>
        <w:t xml:space="preserve"> </w:t>
      </w:r>
      <w:r w:rsidR="00FE479E" w:rsidRPr="009C1B66">
        <w:rPr>
          <w:rFonts w:cs="Times New Roman"/>
        </w:rPr>
        <w:t>structures eventually</w:t>
      </w:r>
      <w:r w:rsidR="00FE479E" w:rsidRPr="009C1B66">
        <w:rPr>
          <w:rFonts w:eastAsia="Liberation Serif" w:cs="Times New Roman"/>
        </w:rPr>
        <w:t xml:space="preserve"> </w:t>
      </w:r>
      <w:r w:rsidR="00FE479E" w:rsidRPr="009C1B66">
        <w:rPr>
          <w:rFonts w:cs="Times New Roman"/>
        </w:rPr>
        <w:t>affect</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w:t>
      </w:r>
      <w:r w:rsidR="00FE479E" w:rsidRPr="009C1B66">
        <w:rPr>
          <w:rFonts w:cs="Times New Roman"/>
        </w:rPr>
        <w:t>counter</w:t>
      </w:r>
      <w:r w:rsidR="00FE479E">
        <w:rPr>
          <w:rFonts w:cs="Times New Roman"/>
        </w:rPr>
        <w:t xml:space="preserve"> </w:t>
      </w:r>
      <w:r w:rsidR="00FE479E" w:rsidRPr="009C1B66">
        <w:rPr>
          <w:rFonts w:cs="Times New Roman"/>
        </w:rPr>
        <w:t>ion</w:t>
      </w:r>
      <w:r w:rsidR="00FE479E" w:rsidRPr="009C1B66">
        <w:rPr>
          <w:rFonts w:eastAsia="Liberation Serif" w:cs="Times New Roman"/>
        </w:rPr>
        <w:t xml:space="preserve"> </w:t>
      </w:r>
      <w:r w:rsidR="00FE479E" w:rsidRPr="009C1B66">
        <w:rPr>
          <w:rFonts w:cs="Times New Roman"/>
        </w:rPr>
        <w:t>dynamics,</w:t>
      </w:r>
      <w:r w:rsidR="00FE479E" w:rsidRPr="009C1B66">
        <w:rPr>
          <w:rFonts w:eastAsia="Liberation Serif" w:cs="Times New Roman"/>
        </w:rPr>
        <w:t xml:space="preserve"> </w:t>
      </w:r>
      <w:r w:rsidR="00FE479E" w:rsidRPr="009C1B66">
        <w:rPr>
          <w:rFonts w:cs="Times New Roman"/>
        </w:rPr>
        <w:t>by</w:t>
      </w:r>
      <w:r w:rsidR="00FE479E" w:rsidRPr="009C1B66">
        <w:rPr>
          <w:rFonts w:eastAsia="Liberation Serif" w:cs="Times New Roman"/>
        </w:rPr>
        <w:t xml:space="preserve"> </w:t>
      </w:r>
      <w:r w:rsidR="00FE479E" w:rsidRPr="009C1B66">
        <w:rPr>
          <w:rFonts w:cs="Times New Roman"/>
        </w:rPr>
        <w:t>dramatically</w:t>
      </w:r>
      <w:r w:rsidR="00FE479E" w:rsidRPr="009C1B66">
        <w:rPr>
          <w:rFonts w:eastAsia="Liberation Serif" w:cs="Times New Roman"/>
        </w:rPr>
        <w:t xml:space="preserve"> </w:t>
      </w:r>
      <w:r w:rsidR="00FE479E" w:rsidRPr="009C1B66">
        <w:rPr>
          <w:rFonts w:cs="Times New Roman"/>
        </w:rPr>
        <w:t>slowing down</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w:t>
      </w:r>
      <w:r w:rsidR="00FE479E" w:rsidRPr="009C1B66">
        <w:rPr>
          <w:rFonts w:cs="Times New Roman"/>
        </w:rPr>
        <w:t>counter</w:t>
      </w:r>
      <w:r w:rsidR="00FE479E">
        <w:rPr>
          <w:rFonts w:cs="Times New Roman"/>
        </w:rPr>
        <w:t xml:space="preserve"> </w:t>
      </w:r>
      <w:r w:rsidR="00FE479E" w:rsidRPr="009C1B66">
        <w:rPr>
          <w:rFonts w:cs="Times New Roman"/>
        </w:rPr>
        <w:t>ion</w:t>
      </w:r>
      <w:r w:rsidR="00FE479E" w:rsidRPr="009C1B66">
        <w:rPr>
          <w:rFonts w:eastAsia="Liberation Serif" w:cs="Times New Roman"/>
        </w:rPr>
        <w:t xml:space="preserve"> </w:t>
      </w:r>
      <w:r w:rsidR="00FE479E" w:rsidRPr="009C1B66">
        <w:rPr>
          <w:rFonts w:cs="Times New Roman"/>
        </w:rPr>
        <w:t>motion</w:t>
      </w:r>
      <w:r w:rsidR="00FE479E" w:rsidRPr="009C1B66">
        <w:rPr>
          <w:rFonts w:eastAsia="Liberation Serif" w:cs="Times New Roman"/>
        </w:rPr>
        <w:t xml:space="preserve"> </w:t>
      </w:r>
      <w:r w:rsidR="00FE479E" w:rsidRPr="009C1B66">
        <w:rPr>
          <w:rFonts w:cs="Times New Roman"/>
        </w:rPr>
        <w:t>in</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strongly correlated </w:t>
      </w:r>
      <w:r w:rsidR="00FE479E" w:rsidRPr="009C1B66">
        <w:rPr>
          <w:rFonts w:cs="Times New Roman"/>
        </w:rPr>
        <w:t>agglomerate.</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w:t>
      </w:r>
      <w:r w:rsidR="00FE479E" w:rsidRPr="009C1B66">
        <w:rPr>
          <w:rFonts w:cs="Times New Roman"/>
        </w:rPr>
        <w:t>counter</w:t>
      </w:r>
      <w:r w:rsidR="00FE479E">
        <w:rPr>
          <w:rFonts w:cs="Times New Roman"/>
        </w:rPr>
        <w:t xml:space="preserve"> </w:t>
      </w:r>
      <w:r w:rsidR="00FE479E" w:rsidRPr="009C1B66">
        <w:rPr>
          <w:rFonts w:cs="Times New Roman"/>
        </w:rPr>
        <w:t>ions</w:t>
      </w:r>
      <w:r w:rsidR="00FE479E" w:rsidRPr="009C1B66">
        <w:rPr>
          <w:rFonts w:eastAsia="Liberation Serif" w:cs="Times New Roman"/>
        </w:rPr>
        <w:t xml:space="preserve"> </w:t>
      </w:r>
      <w:r w:rsidR="00FE479E" w:rsidRPr="009C1B66">
        <w:rPr>
          <w:rFonts w:cs="Times New Roman"/>
        </w:rPr>
        <w:t>gain entropy</w:t>
      </w:r>
      <w:r w:rsidR="00FE479E" w:rsidRPr="009C1B66">
        <w:rPr>
          <w:rFonts w:eastAsia="Liberation Serif" w:cs="Times New Roman"/>
        </w:rPr>
        <w:t xml:space="preserve"> </w:t>
      </w:r>
      <w:r w:rsidR="00FE479E" w:rsidRPr="009C1B66">
        <w:rPr>
          <w:rFonts w:cs="Times New Roman"/>
        </w:rPr>
        <w:t>by</w:t>
      </w:r>
      <w:r w:rsidR="00FE479E" w:rsidRPr="009C1B66">
        <w:rPr>
          <w:rFonts w:eastAsia="Liberation Serif" w:cs="Times New Roman"/>
        </w:rPr>
        <w:t xml:space="preserve"> </w:t>
      </w:r>
      <w:r w:rsidR="00FE479E" w:rsidRPr="009C1B66">
        <w:rPr>
          <w:rFonts w:cs="Times New Roman"/>
        </w:rPr>
        <w:t>continuous</w:t>
      </w:r>
      <w:r w:rsidR="00FE479E" w:rsidRPr="009C1B66">
        <w:rPr>
          <w:rFonts w:eastAsia="Liberation Serif" w:cs="Times New Roman"/>
        </w:rPr>
        <w:t xml:space="preserve"> </w:t>
      </w:r>
      <w:r w:rsidR="00FE479E" w:rsidRPr="009C1B66">
        <w:rPr>
          <w:rFonts w:cs="Times New Roman"/>
        </w:rPr>
        <w:t>collisions</w:t>
      </w:r>
      <w:r w:rsidR="00FE479E" w:rsidRPr="009C1B66">
        <w:rPr>
          <w:rFonts w:eastAsia="Liberation Serif" w:cs="Times New Roman"/>
        </w:rPr>
        <w:t xml:space="preserve"> </w:t>
      </w:r>
      <w:r w:rsidR="00FE479E">
        <w:rPr>
          <w:rFonts w:cs="Times New Roman"/>
        </w:rPr>
        <w:t>within</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w:t>
      </w:r>
      <w:r w:rsidR="00FE479E" w:rsidRPr="009C1B66">
        <w:rPr>
          <w:rFonts w:cs="Times New Roman"/>
        </w:rPr>
        <w:t>cluster that leads to</w:t>
      </w:r>
      <w:r w:rsidR="00FE479E" w:rsidRPr="009C1B66">
        <w:rPr>
          <w:rFonts w:eastAsia="Liberation Serif" w:cs="Times New Roman"/>
        </w:rPr>
        <w:t xml:space="preserve"> </w:t>
      </w:r>
      <w:r w:rsidR="00FE479E" w:rsidRPr="009C1B66">
        <w:rPr>
          <w:rFonts w:cs="Times New Roman"/>
        </w:rPr>
        <w:t>ballistic</w:t>
      </w:r>
      <w:r w:rsidR="00FE479E" w:rsidRPr="009C1B66">
        <w:rPr>
          <w:rFonts w:eastAsia="Liberation Serif" w:cs="Times New Roman"/>
        </w:rPr>
        <w:t xml:space="preserve"> </w:t>
      </w:r>
      <w:r w:rsidR="00FE479E" w:rsidRPr="009C1B66">
        <w:rPr>
          <w:rFonts w:cs="Times New Roman"/>
        </w:rPr>
        <w:t>hopping</w:t>
      </w:r>
      <w:r w:rsidR="00FE479E" w:rsidRPr="009C1B66">
        <w:rPr>
          <w:rFonts w:eastAsia="Liberation Serif" w:cs="Times New Roman"/>
        </w:rPr>
        <w:t xml:space="preserve"> </w:t>
      </w:r>
      <w:r w:rsidR="00FE479E" w:rsidRPr="009C1B66">
        <w:rPr>
          <w:rFonts w:cs="Times New Roman"/>
        </w:rPr>
        <w:t>of</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w:t>
      </w:r>
      <w:r w:rsidR="00FE479E" w:rsidRPr="009C1B66">
        <w:rPr>
          <w:rFonts w:cs="Times New Roman"/>
        </w:rPr>
        <w:t>counter</w:t>
      </w:r>
      <w:r w:rsidR="00FE479E">
        <w:rPr>
          <w:rFonts w:cs="Times New Roman"/>
        </w:rPr>
        <w:t xml:space="preserve"> </w:t>
      </w:r>
      <w:r w:rsidR="00FE479E" w:rsidRPr="009C1B66">
        <w:rPr>
          <w:rFonts w:cs="Times New Roman"/>
        </w:rPr>
        <w:t>ions</w:t>
      </w:r>
      <w:r w:rsidR="00FE479E" w:rsidRPr="009C1B66">
        <w:rPr>
          <w:rFonts w:eastAsia="Liberation Serif" w:cs="Times New Roman"/>
        </w:rPr>
        <w:t xml:space="preserve"> </w:t>
      </w:r>
      <w:r w:rsidR="00FE479E" w:rsidRPr="009C1B66">
        <w:rPr>
          <w:rFonts w:cs="Times New Roman"/>
        </w:rPr>
        <w:t>through</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w:t>
      </w:r>
      <w:r w:rsidR="00FE479E" w:rsidRPr="009C1B66">
        <w:rPr>
          <w:rFonts w:cs="Times New Roman"/>
        </w:rPr>
        <w:t>ionic</w:t>
      </w:r>
      <w:r w:rsidR="00FE479E" w:rsidRPr="009C1B66">
        <w:rPr>
          <w:rFonts w:eastAsia="Liberation Serif" w:cs="Times New Roman"/>
        </w:rPr>
        <w:t xml:space="preserve"> </w:t>
      </w:r>
      <w:r w:rsidR="00FE479E" w:rsidRPr="009C1B66">
        <w:rPr>
          <w:rFonts w:cs="Times New Roman"/>
        </w:rPr>
        <w:t>channels, a</w:t>
      </w:r>
      <w:r w:rsidR="00FE479E" w:rsidRPr="009C1B66">
        <w:rPr>
          <w:rFonts w:eastAsia="Liberation Serif" w:cs="Times New Roman"/>
        </w:rPr>
        <w:t xml:space="preserve"> </w:t>
      </w:r>
      <w:r w:rsidR="00FE479E" w:rsidRPr="009C1B66">
        <w:rPr>
          <w:rFonts w:cs="Times New Roman"/>
        </w:rPr>
        <w:t>process</w:t>
      </w:r>
      <w:r w:rsidR="00FE479E" w:rsidRPr="009C1B66">
        <w:rPr>
          <w:rFonts w:eastAsia="Liberation Serif" w:cs="Times New Roman"/>
        </w:rPr>
        <w:t xml:space="preserve"> </w:t>
      </w:r>
      <w:r w:rsidR="00FE479E" w:rsidRPr="009C1B66">
        <w:rPr>
          <w:rFonts w:cs="Times New Roman"/>
        </w:rPr>
        <w:t>that</w:t>
      </w:r>
      <w:r w:rsidR="00FE479E" w:rsidRPr="009C1B66">
        <w:rPr>
          <w:rFonts w:eastAsia="Liberation Serif" w:cs="Times New Roman"/>
        </w:rPr>
        <w:t xml:space="preserve"> </w:t>
      </w:r>
      <w:r w:rsidR="00FE479E" w:rsidRPr="009C1B66">
        <w:rPr>
          <w:rFonts w:cs="Times New Roman"/>
        </w:rPr>
        <w:t>is</w:t>
      </w:r>
      <w:r w:rsidR="00FE479E" w:rsidRPr="009C1B66">
        <w:rPr>
          <w:rFonts w:eastAsia="Liberation Serif" w:cs="Times New Roman"/>
        </w:rPr>
        <w:t xml:space="preserve"> </w:t>
      </w:r>
      <w:r w:rsidR="00FE479E" w:rsidRPr="009C1B66">
        <w:rPr>
          <w:rFonts w:cs="Times New Roman"/>
        </w:rPr>
        <w:t>dependent</w:t>
      </w:r>
      <w:r w:rsidR="00FE479E" w:rsidRPr="009C1B66">
        <w:rPr>
          <w:rFonts w:eastAsia="Liberation Serif" w:cs="Times New Roman"/>
        </w:rPr>
        <w:t xml:space="preserve"> </w:t>
      </w:r>
      <w:r w:rsidR="00FE479E" w:rsidRPr="009C1B66">
        <w:rPr>
          <w:rFonts w:cs="Times New Roman"/>
        </w:rPr>
        <w:t>on</w:t>
      </w:r>
      <w:r w:rsidR="00FE479E" w:rsidRPr="009C1B66">
        <w:rPr>
          <w:rFonts w:eastAsia="Liberation Serif" w:cs="Times New Roman"/>
        </w:rPr>
        <w:t xml:space="preserve"> </w:t>
      </w:r>
      <w:r w:rsidR="00FE479E" w:rsidRPr="009C1B66">
        <w:rPr>
          <w:rFonts w:cs="Times New Roman"/>
        </w:rPr>
        <w:t>dielectric</w:t>
      </w:r>
      <w:r w:rsidR="00FE479E" w:rsidRPr="009C1B66">
        <w:rPr>
          <w:rFonts w:eastAsia="Liberation Serif" w:cs="Times New Roman"/>
        </w:rPr>
        <w:t xml:space="preserve"> </w:t>
      </w:r>
      <w:r w:rsidR="00FE479E" w:rsidRPr="009C1B66">
        <w:rPr>
          <w:rFonts w:cs="Times New Roman"/>
        </w:rPr>
        <w:t>constant.</w:t>
      </w:r>
      <w:r w:rsidR="00FE479E" w:rsidRPr="009C1B66">
        <w:rPr>
          <w:rFonts w:eastAsia="Liberation Serif" w:cs="Times New Roman"/>
        </w:rPr>
        <w:t xml:space="preserve"> </w:t>
      </w:r>
      <w:r w:rsidR="00FE479E" w:rsidRPr="009C1B66">
        <w:rPr>
          <w:rFonts w:cs="Times New Roman"/>
        </w:rPr>
        <w:t>These</w:t>
      </w:r>
      <w:r w:rsidR="00FE479E" w:rsidRPr="009C1B66">
        <w:rPr>
          <w:rFonts w:eastAsia="Liberation Serif" w:cs="Times New Roman"/>
        </w:rPr>
        <w:t xml:space="preserve"> preliminary </w:t>
      </w:r>
      <w:r w:rsidR="00FE479E" w:rsidRPr="009C1B66">
        <w:rPr>
          <w:rFonts w:cs="Times New Roman"/>
        </w:rPr>
        <w:t>results can</w:t>
      </w:r>
      <w:r w:rsidR="00FE479E" w:rsidRPr="009C1B66">
        <w:rPr>
          <w:rFonts w:eastAsia="Liberation Serif" w:cs="Times New Roman"/>
        </w:rPr>
        <w:t xml:space="preserve"> </w:t>
      </w:r>
      <w:r w:rsidR="00FE479E" w:rsidRPr="009C1B66">
        <w:rPr>
          <w:rFonts w:cs="Times New Roman"/>
        </w:rPr>
        <w:t>connect</w:t>
      </w:r>
      <w:r w:rsidR="00FE479E" w:rsidRPr="009C1B66">
        <w:rPr>
          <w:rFonts w:eastAsia="Liberation Serif" w:cs="Times New Roman"/>
        </w:rPr>
        <w:t xml:space="preserve"> </w:t>
      </w:r>
      <w:r w:rsidR="00FE479E" w:rsidRPr="009C1B66">
        <w:rPr>
          <w:rFonts w:cs="Times New Roman"/>
        </w:rPr>
        <w:t>the</w:t>
      </w:r>
      <w:r w:rsidR="00FE479E" w:rsidRPr="009C1B66">
        <w:rPr>
          <w:rFonts w:eastAsia="Liberation Serif" w:cs="Times New Roman"/>
        </w:rPr>
        <w:t xml:space="preserve"> </w:t>
      </w:r>
      <w:r w:rsidR="00FE479E" w:rsidRPr="009C1B66">
        <w:rPr>
          <w:rFonts w:cs="Times New Roman"/>
        </w:rPr>
        <w:t>dots</w:t>
      </w:r>
      <w:r w:rsidR="00FE479E" w:rsidRPr="009C1B66">
        <w:rPr>
          <w:rFonts w:eastAsia="Liberation Serif" w:cs="Times New Roman"/>
        </w:rPr>
        <w:t xml:space="preserve"> </w:t>
      </w:r>
      <w:r w:rsidR="00FE479E" w:rsidRPr="009C1B66">
        <w:rPr>
          <w:rFonts w:cs="Times New Roman"/>
        </w:rPr>
        <w:t>between</w:t>
      </w:r>
      <w:r w:rsidR="00FE479E" w:rsidRPr="009C1B66">
        <w:rPr>
          <w:rFonts w:eastAsia="Liberation Serif" w:cs="Times New Roman"/>
        </w:rPr>
        <w:t xml:space="preserve"> </w:t>
      </w:r>
      <w:r w:rsidR="00FE479E" w:rsidRPr="009C1B66">
        <w:rPr>
          <w:rFonts w:cs="Times New Roman"/>
        </w:rPr>
        <w:t>structural inhomogeneity</w:t>
      </w:r>
      <w:r w:rsidR="00FE479E" w:rsidRPr="009C1B66">
        <w:rPr>
          <w:rFonts w:eastAsia="Liberation Serif" w:cs="Times New Roman"/>
        </w:rPr>
        <w:t xml:space="preserve"> </w:t>
      </w:r>
      <w:r w:rsidR="00FE479E" w:rsidRPr="009C1B66">
        <w:rPr>
          <w:rFonts w:cs="Times New Roman"/>
        </w:rPr>
        <w:t>and counter</w:t>
      </w:r>
      <w:r w:rsidR="00FE479E">
        <w:rPr>
          <w:rFonts w:cs="Times New Roman"/>
        </w:rPr>
        <w:t xml:space="preserve"> </w:t>
      </w:r>
      <w:r w:rsidR="00FE479E" w:rsidRPr="009C1B66">
        <w:rPr>
          <w:rFonts w:cs="Times New Roman"/>
        </w:rPr>
        <w:t>ion</w:t>
      </w:r>
      <w:r w:rsidR="00FE479E" w:rsidRPr="009C1B66">
        <w:rPr>
          <w:rFonts w:eastAsia="Liberation Serif" w:cs="Times New Roman"/>
        </w:rPr>
        <w:t xml:space="preserve"> </w:t>
      </w:r>
      <w:r w:rsidR="00FE479E" w:rsidRPr="009C1B66">
        <w:rPr>
          <w:rFonts w:cs="Times New Roman"/>
        </w:rPr>
        <w:t>hopping</w:t>
      </w:r>
      <w:r w:rsidR="00FE479E" w:rsidRPr="009C1B66">
        <w:rPr>
          <w:rFonts w:eastAsia="Liberation Serif" w:cs="Times New Roman"/>
        </w:rPr>
        <w:t xml:space="preserve"> </w:t>
      </w:r>
      <w:r w:rsidR="00FE479E" w:rsidRPr="009C1B66">
        <w:rPr>
          <w:rFonts w:cs="Times New Roman"/>
        </w:rPr>
        <w:t>in</w:t>
      </w:r>
      <w:r w:rsidR="00FE479E" w:rsidRPr="009C1B66">
        <w:rPr>
          <w:rFonts w:eastAsia="Liberation Serif" w:cs="Times New Roman"/>
        </w:rPr>
        <w:t xml:space="preserve"> </w:t>
      </w:r>
      <w:proofErr w:type="spellStart"/>
      <w:r w:rsidR="00FE479E" w:rsidRPr="009C1B66">
        <w:rPr>
          <w:rFonts w:cs="Times New Roman"/>
        </w:rPr>
        <w:t>ionomer</w:t>
      </w:r>
      <w:proofErr w:type="spellEnd"/>
      <w:r w:rsidR="00FE479E" w:rsidRPr="009C1B66">
        <w:rPr>
          <w:rFonts w:eastAsia="Liberation Serif" w:cs="Times New Roman"/>
        </w:rPr>
        <w:t xml:space="preserve"> </w:t>
      </w:r>
      <w:r w:rsidR="00FE479E" w:rsidRPr="009C1B66">
        <w:rPr>
          <w:rFonts w:cs="Times New Roman"/>
        </w:rPr>
        <w:t>electrolytes</w:t>
      </w:r>
      <w:r w:rsidR="00FE479E" w:rsidRPr="009C1B66">
        <w:rPr>
          <w:rFonts w:eastAsia="Liberation Serif" w:cs="Times New Roman"/>
        </w:rPr>
        <w:t xml:space="preserve"> </w:t>
      </w:r>
      <w:r w:rsidR="00FE479E" w:rsidRPr="009C1B66">
        <w:rPr>
          <w:rFonts w:cs="Times New Roman"/>
        </w:rPr>
        <w:t>at</w:t>
      </w:r>
      <w:r w:rsidR="00FE479E" w:rsidRPr="009C1B66">
        <w:rPr>
          <w:rFonts w:eastAsia="Liberation Serif" w:cs="Times New Roman"/>
        </w:rPr>
        <w:t xml:space="preserve"> </w:t>
      </w:r>
      <w:r w:rsidR="00FE479E" w:rsidRPr="009C1B66">
        <w:rPr>
          <w:rFonts w:cs="Times New Roman"/>
        </w:rPr>
        <w:t>a</w:t>
      </w:r>
      <w:r w:rsidR="00FE479E" w:rsidRPr="009C1B66">
        <w:rPr>
          <w:rFonts w:eastAsia="Liberation Serif" w:cs="Times New Roman"/>
        </w:rPr>
        <w:t xml:space="preserve"> </w:t>
      </w:r>
      <w:r w:rsidR="00FE479E" w:rsidRPr="009C1B66">
        <w:rPr>
          <w:rFonts w:cs="Times New Roman"/>
        </w:rPr>
        <w:t>molecular</w:t>
      </w:r>
      <w:r w:rsidR="00FE479E" w:rsidRPr="009C1B66">
        <w:rPr>
          <w:rFonts w:eastAsia="Liberation Serif" w:cs="Times New Roman"/>
        </w:rPr>
        <w:t xml:space="preserve"> </w:t>
      </w:r>
      <w:r w:rsidR="00FE479E" w:rsidRPr="009C1B66">
        <w:rPr>
          <w:rFonts w:cs="Times New Roman"/>
        </w:rPr>
        <w:t>level thereby</w:t>
      </w:r>
      <w:r w:rsidR="00FE479E" w:rsidRPr="009C1B66">
        <w:rPr>
          <w:rFonts w:eastAsia="Liberation Serif" w:cs="Times New Roman"/>
        </w:rPr>
        <w:t xml:space="preserve"> </w:t>
      </w:r>
      <w:r w:rsidR="00FE479E" w:rsidRPr="009C1B66">
        <w:rPr>
          <w:rFonts w:cs="Times New Roman"/>
        </w:rPr>
        <w:t>help</w:t>
      </w:r>
      <w:r w:rsidR="00FE479E" w:rsidRPr="009C1B66">
        <w:rPr>
          <w:rFonts w:eastAsia="Liberation Serif" w:cs="Times New Roman"/>
        </w:rPr>
        <w:t xml:space="preserve"> </w:t>
      </w:r>
      <w:r w:rsidR="00FE479E" w:rsidRPr="009C1B66">
        <w:rPr>
          <w:rFonts w:cs="Times New Roman"/>
        </w:rPr>
        <w:t>design</w:t>
      </w:r>
      <w:r w:rsidR="00FE479E" w:rsidRPr="009C1B66">
        <w:rPr>
          <w:rFonts w:eastAsia="Liberation Serif" w:cs="Times New Roman"/>
        </w:rPr>
        <w:t xml:space="preserve"> </w:t>
      </w:r>
      <w:r w:rsidR="00FE479E" w:rsidRPr="009C1B66">
        <w:rPr>
          <w:rFonts w:cs="Times New Roman"/>
        </w:rPr>
        <w:t>better</w:t>
      </w:r>
      <w:r w:rsidR="00FE479E">
        <w:rPr>
          <w:rFonts w:cs="Times New Roman"/>
        </w:rPr>
        <w:t xml:space="preserve"> </w:t>
      </w:r>
      <w:r w:rsidR="003C5437" w:rsidRPr="009C1B66">
        <w:rPr>
          <w:rFonts w:cs="Times New Roman"/>
        </w:rPr>
        <w:t>materials</w:t>
      </w:r>
      <w:r w:rsidR="003C5437" w:rsidRPr="009C1B66">
        <w:rPr>
          <w:rFonts w:eastAsia="Liberation Serif" w:cs="Times New Roman"/>
        </w:rPr>
        <w:t xml:space="preserve"> </w:t>
      </w:r>
      <w:r w:rsidR="003C5437" w:rsidRPr="009C1B66">
        <w:rPr>
          <w:rFonts w:cs="Times New Roman"/>
        </w:rPr>
        <w:t>for</w:t>
      </w:r>
      <w:r w:rsidR="003C5437" w:rsidRPr="009C1B66">
        <w:rPr>
          <w:rFonts w:eastAsia="Liberation Serif" w:cs="Times New Roman"/>
        </w:rPr>
        <w:t xml:space="preserve"> </w:t>
      </w:r>
      <w:r w:rsidR="003C5437" w:rsidRPr="009C1B66">
        <w:rPr>
          <w:rFonts w:cs="Times New Roman"/>
        </w:rPr>
        <w:t>future</w:t>
      </w:r>
      <w:r w:rsidR="003C5437" w:rsidRPr="009C1B66">
        <w:rPr>
          <w:rFonts w:eastAsia="Liberation Serif" w:cs="Times New Roman"/>
        </w:rPr>
        <w:t xml:space="preserve"> </w:t>
      </w:r>
      <w:r w:rsidR="003C5437" w:rsidRPr="009C1B66">
        <w:rPr>
          <w:rFonts w:cs="Times New Roman"/>
        </w:rPr>
        <w:t xml:space="preserve">technologies. </w:t>
      </w:r>
    </w:p>
    <w:p w:rsidR="00FE479E" w:rsidRDefault="00FE479E" w:rsidP="00D5683C">
      <w:pPr>
        <w:spacing w:after="0" w:line="240" w:lineRule="auto"/>
        <w:jc w:val="both"/>
        <w:rPr>
          <w:rFonts w:cs="Times New Roman"/>
        </w:rPr>
      </w:pPr>
    </w:p>
    <w:p w:rsidR="00F566BE" w:rsidRDefault="00F566BE" w:rsidP="00D5683C">
      <w:pPr>
        <w:spacing w:after="0" w:line="240" w:lineRule="auto"/>
        <w:jc w:val="both"/>
        <w:rPr>
          <w:rFonts w:cs="Times New Roman"/>
        </w:rPr>
      </w:pPr>
      <w:r>
        <w:rPr>
          <w:rFonts w:cs="Times New Roman"/>
        </w:rPr>
        <w:t>We would like to use quasi-elastic neutron scattering to examine the dynamics of the polymer and counter ions. In order to do this there are two possible approaches. One</w:t>
      </w:r>
      <w:r w:rsidR="003205DB">
        <w:rPr>
          <w:rFonts w:cs="Times New Roman"/>
        </w:rPr>
        <w:t xml:space="preserve"> approach</w:t>
      </w:r>
      <w:r>
        <w:rPr>
          <w:rFonts w:cs="Times New Roman"/>
        </w:rPr>
        <w:t xml:space="preserve"> is to modify the code in the CAMM framework that performs the Fourier transform of the MD trajectories to incorpora</w:t>
      </w:r>
      <w:r w:rsidR="003205DB">
        <w:rPr>
          <w:rFonts w:cs="Times New Roman"/>
        </w:rPr>
        <w:t xml:space="preserve">te the coarse grained “units” </w:t>
      </w:r>
      <w:r>
        <w:rPr>
          <w:rFonts w:cs="Times New Roman"/>
        </w:rPr>
        <w:t xml:space="preserve">rather than using individual atoms. </w:t>
      </w:r>
      <w:r w:rsidR="00275F32">
        <w:rPr>
          <w:rFonts w:cs="Times New Roman"/>
        </w:rPr>
        <w:t>This has great advantages in terms of speed of performance, because the coarse grained simulations are much faster. The second approach is to perform an all atom simulation, in which case the Fourier transform for the neutron scattering law is exac</w:t>
      </w:r>
      <w:r w:rsidR="00225E95">
        <w:rPr>
          <w:rFonts w:cs="Times New Roman"/>
        </w:rPr>
        <w:t>tly correct. The disadvantage of all atom simulations of</w:t>
      </w:r>
      <w:r w:rsidR="00275F32">
        <w:rPr>
          <w:rFonts w:cs="Times New Roman"/>
        </w:rPr>
        <w:t xml:space="preserve"> such a large system is that the computation time will be large.</w:t>
      </w:r>
    </w:p>
    <w:p w:rsidR="00F566BE" w:rsidRDefault="00F566BE" w:rsidP="00D5683C">
      <w:pPr>
        <w:spacing w:after="0" w:line="240" w:lineRule="auto"/>
        <w:jc w:val="both"/>
        <w:rPr>
          <w:rFonts w:cs="Times New Roman"/>
        </w:rPr>
      </w:pPr>
    </w:p>
    <w:p w:rsidR="00275F32" w:rsidRDefault="00275F32" w:rsidP="00D5683C">
      <w:pPr>
        <w:spacing w:after="0" w:line="240" w:lineRule="auto"/>
        <w:jc w:val="both"/>
        <w:rPr>
          <w:rFonts w:cs="Times New Roman"/>
        </w:rPr>
      </w:pPr>
      <w:r>
        <w:rPr>
          <w:rFonts w:cs="Times New Roman"/>
        </w:rPr>
        <w:t>In p</w:t>
      </w:r>
      <w:r w:rsidR="003205DB">
        <w:rPr>
          <w:rFonts w:cs="Times New Roman"/>
        </w:rPr>
        <w:t>ractice we need to do both approaches to demonstrate that</w:t>
      </w:r>
      <w:r>
        <w:rPr>
          <w:rFonts w:cs="Times New Roman"/>
        </w:rPr>
        <w:t xml:space="preserve"> </w:t>
      </w:r>
      <w:r w:rsidR="003205DB">
        <w:rPr>
          <w:rFonts w:cs="Times New Roman"/>
        </w:rPr>
        <w:t>results using</w:t>
      </w:r>
      <w:r w:rsidR="00936401">
        <w:rPr>
          <w:rFonts w:cs="Times New Roman"/>
        </w:rPr>
        <w:t xml:space="preserve"> the coarse grained simulation </w:t>
      </w:r>
      <w:r w:rsidR="003205DB">
        <w:rPr>
          <w:rFonts w:cs="Times New Roman"/>
        </w:rPr>
        <w:t>are</w:t>
      </w:r>
      <w:r>
        <w:rPr>
          <w:rFonts w:cs="Times New Roman"/>
        </w:rPr>
        <w:t xml:space="preserve"> equivalent to </w:t>
      </w:r>
      <w:r w:rsidR="003205DB">
        <w:rPr>
          <w:rFonts w:cs="Times New Roman"/>
        </w:rPr>
        <w:t>the all atom simulation. We would</w:t>
      </w:r>
      <w:r>
        <w:rPr>
          <w:rFonts w:cs="Times New Roman"/>
        </w:rPr>
        <w:t xml:space="preserve"> use the CAMM framework refinement with the coarse grained simulations</w:t>
      </w:r>
      <w:r w:rsidR="00225E95">
        <w:rPr>
          <w:rFonts w:cs="Times New Roman"/>
        </w:rPr>
        <w:t xml:space="preserve"> to refine against the experimental data</w:t>
      </w:r>
      <w:r w:rsidR="003205DB">
        <w:rPr>
          <w:rFonts w:cs="Times New Roman"/>
        </w:rPr>
        <w:t xml:space="preserve">, and </w:t>
      </w:r>
      <w:r>
        <w:rPr>
          <w:rFonts w:cs="Times New Roman"/>
        </w:rPr>
        <w:t>at t</w:t>
      </w:r>
      <w:r w:rsidR="00536EA3">
        <w:rPr>
          <w:rFonts w:cs="Times New Roman"/>
        </w:rPr>
        <w:t>he end of the refinement</w:t>
      </w:r>
      <w:r>
        <w:rPr>
          <w:rFonts w:cs="Times New Roman"/>
        </w:rPr>
        <w:t xml:space="preserve"> revert to an all atom simulation to </w:t>
      </w:r>
      <w:r w:rsidR="00536EA3">
        <w:rPr>
          <w:rFonts w:cs="Times New Roman"/>
        </w:rPr>
        <w:t>verify</w:t>
      </w:r>
      <w:r w:rsidR="003205DB">
        <w:rPr>
          <w:rFonts w:cs="Times New Roman"/>
        </w:rPr>
        <w:t xml:space="preserve"> that the results are </w:t>
      </w:r>
      <w:r>
        <w:rPr>
          <w:rFonts w:cs="Times New Roman"/>
        </w:rPr>
        <w:t xml:space="preserve">the same. </w:t>
      </w:r>
      <w:r w:rsidR="003205DB">
        <w:rPr>
          <w:rFonts w:cs="Times New Roman"/>
        </w:rPr>
        <w:t xml:space="preserve">In the third quarter of FY2013 we </w:t>
      </w:r>
      <w:r w:rsidR="003205DB" w:rsidRPr="009C1B66">
        <w:rPr>
          <w:rFonts w:cs="Times New Roman"/>
        </w:rPr>
        <w:t xml:space="preserve">have </w:t>
      </w:r>
      <w:r w:rsidR="003205DB">
        <w:rPr>
          <w:rFonts w:cs="Times New Roman"/>
        </w:rPr>
        <w:t>been constructing</w:t>
      </w:r>
      <w:r w:rsidR="003205DB" w:rsidRPr="009C1B66">
        <w:rPr>
          <w:rFonts w:cs="Times New Roman"/>
        </w:rPr>
        <w:t xml:space="preserve"> 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8"/>
        <w:gridCol w:w="4698"/>
      </w:tblGrid>
      <w:tr w:rsidR="00936401" w:rsidTr="00936401">
        <w:tc>
          <w:tcPr>
            <w:tcW w:w="5598" w:type="dxa"/>
          </w:tcPr>
          <w:p w:rsidR="00936401" w:rsidRDefault="00936401" w:rsidP="00936401">
            <w:pPr>
              <w:jc w:val="both"/>
              <w:rPr>
                <w:rFonts w:cs="Times New Roman"/>
              </w:rPr>
            </w:pPr>
            <w:r w:rsidRPr="009C1B66">
              <w:rPr>
                <w:rFonts w:cs="Times New Roman"/>
              </w:rPr>
              <w:t>fully atomistic model of polyethylene (PE) oxide polymers in a highly concentrated solution and then replaced the -oxygen- with</w:t>
            </w:r>
            <w:r>
              <w:rPr>
                <w:rFonts w:cs="Times New Roman"/>
              </w:rPr>
              <w:t xml:space="preserve"> acrylic acid (AA) monomer</w:t>
            </w:r>
            <w:r w:rsidRPr="009C1B66">
              <w:rPr>
                <w:rFonts w:cs="Times New Roman"/>
              </w:rPr>
              <w:t xml:space="preserve"> </w:t>
            </w:r>
            <w:r>
              <w:rPr>
                <w:rFonts w:cs="Times New Roman"/>
              </w:rPr>
              <w:t>for</w:t>
            </w:r>
            <w:r w:rsidRPr="009C1B66">
              <w:rPr>
                <w:rFonts w:cs="Times New Roman"/>
              </w:rPr>
              <w:t xml:space="preserve"> input to LAMMPS. We </w:t>
            </w:r>
            <w:r>
              <w:rPr>
                <w:rFonts w:cs="Times New Roman"/>
              </w:rPr>
              <w:t xml:space="preserve">have </w:t>
            </w:r>
            <w:r w:rsidRPr="009C1B66">
              <w:rPr>
                <w:rFonts w:cs="Times New Roman"/>
              </w:rPr>
              <w:t xml:space="preserve">equilibrated the structures to a melt state. There are certain numerical/physics issues in the fully atomistic model that needs to be addressed before a conclusive result can be obtained. </w:t>
            </w:r>
          </w:p>
          <w:p w:rsidR="00936401" w:rsidRDefault="00936401" w:rsidP="00936401">
            <w:pPr>
              <w:jc w:val="both"/>
              <w:rPr>
                <w:rFonts w:cs="Times New Roman"/>
              </w:rPr>
            </w:pPr>
          </w:p>
          <w:p w:rsidR="00936401" w:rsidRPr="00936401" w:rsidRDefault="00936401" w:rsidP="00936401">
            <w:pPr>
              <w:jc w:val="both"/>
              <w:rPr>
                <w:rFonts w:eastAsia="Liberation Serif" w:cs="Times New Roman"/>
              </w:rPr>
            </w:pPr>
            <w:r>
              <w:rPr>
                <w:rFonts w:cs="Times New Roman"/>
              </w:rPr>
              <w:t>In order to give ourselves confidence that the results will be comparable to quasi-elastic neutron scattering experiments</w:t>
            </w:r>
            <w:r w:rsidR="003205DB">
              <w:rPr>
                <w:rFonts w:cs="Times New Roman"/>
              </w:rPr>
              <w:t xml:space="preserve"> </w:t>
            </w:r>
            <w:r w:rsidR="003205DB">
              <w:rPr>
                <w:rFonts w:cs="Times New Roman"/>
              </w:rPr>
              <w:t>we have performed the Fourier transforms for the Li counter-ions in order to demonstrate that the energy scales are correct. These results are shown in Figure 9.</w:t>
            </w:r>
            <w:r>
              <w:rPr>
                <w:rFonts w:cs="Times New Roman"/>
              </w:rPr>
              <w:t xml:space="preserve"> </w:t>
            </w:r>
          </w:p>
        </w:tc>
        <w:tc>
          <w:tcPr>
            <w:tcW w:w="4698" w:type="dxa"/>
          </w:tcPr>
          <w:p w:rsidR="003205DB" w:rsidRDefault="003205DB" w:rsidP="00936401">
            <w:pPr>
              <w:jc w:val="center"/>
              <w:rPr>
                <w:rFonts w:cs="Times New Roman"/>
              </w:rPr>
            </w:pPr>
          </w:p>
          <w:p w:rsidR="00936401" w:rsidRDefault="00936401" w:rsidP="00936401">
            <w:pPr>
              <w:jc w:val="center"/>
              <w:rPr>
                <w:rFonts w:cs="Times New Roman"/>
              </w:rPr>
            </w:pPr>
            <w:r w:rsidRPr="00936401">
              <w:rPr>
                <w:rFonts w:cs="Times New Roman"/>
              </w:rPr>
              <w:drawing>
                <wp:inline distT="0" distB="0" distL="0" distR="0" wp14:anchorId="1494691F" wp14:editId="1C9180F6">
                  <wp:extent cx="2573609" cy="1803596"/>
                  <wp:effectExtent l="0" t="0" r="0" b="0"/>
                  <wp:docPr id="1026" name="Picture 2" descr="C:\Users\h3n\Documents\MGI-PI Meeting\Bobby Sumpter\monojoy_SQ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3n\Documents\MGI-PI Meeting\Bobby Sumpter\monojoy_SQE.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9999" cy="1808074"/>
                          </a:xfrm>
                          <a:prstGeom prst="rect">
                            <a:avLst/>
                          </a:prstGeom>
                          <a:noFill/>
                          <a:ln>
                            <a:noFill/>
                          </a:ln>
                          <a:extLst/>
                        </pic:spPr>
                      </pic:pic>
                    </a:graphicData>
                  </a:graphic>
                </wp:inline>
              </w:drawing>
            </w:r>
          </w:p>
          <w:p w:rsidR="00936401" w:rsidRPr="00936401" w:rsidRDefault="00B100FD" w:rsidP="00936401">
            <w:pPr>
              <w:jc w:val="center"/>
              <w:rPr>
                <w:rFonts w:cs="Times New Roman"/>
                <w:sz w:val="20"/>
                <w:szCs w:val="20"/>
              </w:rPr>
            </w:pPr>
            <w:r>
              <w:rPr>
                <w:rFonts w:cs="Times New Roman"/>
                <w:sz w:val="20"/>
                <w:szCs w:val="20"/>
              </w:rPr>
              <w:t>Figure 9</w:t>
            </w:r>
            <w:r w:rsidR="00936401" w:rsidRPr="00936401">
              <w:rPr>
                <w:rFonts w:cs="Times New Roman"/>
                <w:sz w:val="20"/>
                <w:szCs w:val="20"/>
              </w:rPr>
              <w:t xml:space="preserve">: Weighted Fourier transform of </w:t>
            </w:r>
            <w:r w:rsidR="00936401">
              <w:rPr>
                <w:rFonts w:cs="Times New Roman"/>
                <w:sz w:val="20"/>
                <w:szCs w:val="20"/>
              </w:rPr>
              <w:br/>
            </w:r>
            <w:r w:rsidR="00936401" w:rsidRPr="00936401">
              <w:rPr>
                <w:rFonts w:cs="Times New Roman"/>
                <w:sz w:val="20"/>
                <w:szCs w:val="20"/>
              </w:rPr>
              <w:t>the Li counter ion motions</w:t>
            </w:r>
          </w:p>
        </w:tc>
      </w:tr>
    </w:tbl>
    <w:p w:rsidR="00AF24B2" w:rsidRPr="00AB43AC" w:rsidRDefault="00AB43AC" w:rsidP="00AB43AC">
      <w:r>
        <w:rPr>
          <w:b/>
        </w:rPr>
        <w:lastRenderedPageBreak/>
        <w:t xml:space="preserve">3.0 </w:t>
      </w:r>
      <w:r w:rsidR="00AF24B2" w:rsidRPr="00AF24B2">
        <w:rPr>
          <w:b/>
        </w:rPr>
        <w:t xml:space="preserve">Electron-phonon coupling and soft phonon mode in </w:t>
      </w:r>
      <w:r w:rsidR="007214F3">
        <w:rPr>
          <w:b/>
        </w:rPr>
        <w:t xml:space="preserve">Ferroelectric </w:t>
      </w:r>
      <w:r w:rsidR="00AF24B2" w:rsidRPr="00AF24B2">
        <w:rPr>
          <w:b/>
        </w:rPr>
        <w:t>KTa</w:t>
      </w:r>
      <w:r w:rsidR="00AF24B2" w:rsidRPr="00AF24B2">
        <w:rPr>
          <w:b/>
          <w:vertAlign w:val="subscript"/>
        </w:rPr>
        <w:t>1-x</w:t>
      </w:r>
      <w:r w:rsidR="00AF24B2" w:rsidRPr="00AF24B2">
        <w:rPr>
          <w:b/>
        </w:rPr>
        <w:t>Nb</w:t>
      </w:r>
      <w:r w:rsidR="00AF24B2" w:rsidRPr="00AF24B2">
        <w:rPr>
          <w:b/>
          <w:vertAlign w:val="subscript"/>
        </w:rPr>
        <w:t>x</w:t>
      </w:r>
      <w:r w:rsidR="00AF24B2" w:rsidRPr="00AF24B2">
        <w:rPr>
          <w:b/>
        </w:rPr>
        <w:t>O</w:t>
      </w:r>
      <w:r w:rsidR="00AF24B2" w:rsidRPr="00AF24B2">
        <w:rPr>
          <w:b/>
          <w:vertAlign w:val="subscript"/>
        </w:rPr>
        <w:t>3</w:t>
      </w:r>
      <w:r w:rsidR="00AF24B2" w:rsidRPr="00AF24B2">
        <w:rPr>
          <w:b/>
        </w:rPr>
        <w:t xml:space="preserve"> </w:t>
      </w:r>
    </w:p>
    <w:p w:rsidR="00F87B64" w:rsidRDefault="00F87B64" w:rsidP="00D745CF">
      <w:pPr>
        <w:spacing w:after="0" w:line="240" w:lineRule="auto"/>
        <w:jc w:val="both"/>
      </w:pPr>
      <w:r>
        <w:t xml:space="preserve">CAMM staff: Olivier Delaire and </w:t>
      </w:r>
      <w:proofErr w:type="spellStart"/>
      <w:r>
        <w:t>Jiawang</w:t>
      </w:r>
      <w:proofErr w:type="spellEnd"/>
      <w:r>
        <w:t xml:space="preserve"> Hong</w:t>
      </w:r>
    </w:p>
    <w:p w:rsidR="00F87B64" w:rsidRDefault="00F87B64" w:rsidP="00D745CF">
      <w:pPr>
        <w:spacing w:after="0" w:line="240" w:lineRule="auto"/>
        <w:jc w:val="both"/>
      </w:pPr>
    </w:p>
    <w:p w:rsidR="009310F3" w:rsidRDefault="009310F3" w:rsidP="00D745CF">
      <w:pPr>
        <w:spacing w:after="0" w:line="240" w:lineRule="auto"/>
        <w:jc w:val="both"/>
      </w:pPr>
      <w:r>
        <w:t xml:space="preserve">The goal for the 3rd quarter was to identify initial simulation codes and undertake test simulations. The </w:t>
      </w:r>
      <w:proofErr w:type="spellStart"/>
      <w:r>
        <w:t>anharmonic</w:t>
      </w:r>
      <w:proofErr w:type="spellEnd"/>
      <w:r>
        <w:t xml:space="preserve"> lattice dynamics simulation codes used in this project enable the calculation of phonon dispersions at finite temperature, extending the traditional density-functional theory (DFT) simulations of harmonic phonons at zero Kelvin.  For demonstration and validation purposes, calculations were performed on the prototypical ferroelectric ABO</w:t>
      </w:r>
      <w:r w:rsidRPr="00807748">
        <w:rPr>
          <w:vertAlign w:val="subscript"/>
        </w:rPr>
        <w:t>3</w:t>
      </w:r>
      <w:r>
        <w:t xml:space="preserve"> </w:t>
      </w:r>
      <w:proofErr w:type="spellStart"/>
      <w:r>
        <w:t>perovskite</w:t>
      </w:r>
      <w:proofErr w:type="spellEnd"/>
      <w:r>
        <w:t xml:space="preserve"> material BaTiO</w:t>
      </w:r>
      <w:r w:rsidRPr="00807748">
        <w:rPr>
          <w:vertAlign w:val="subscript"/>
        </w:rPr>
        <w:t>3</w:t>
      </w:r>
      <w:r>
        <w:t>, in the high-temperature cubic phase. BaTiO</w:t>
      </w:r>
      <w:r w:rsidRPr="00807748">
        <w:rPr>
          <w:vertAlign w:val="subscript"/>
        </w:rPr>
        <w:t>3</w:t>
      </w:r>
      <w:r>
        <w:t xml:space="preserve"> was chosen as a first test case because it undergoes the same series of phase transitions as </w:t>
      </w:r>
      <w:r w:rsidRPr="00E1395F">
        <w:t>KTa</w:t>
      </w:r>
      <w:r w:rsidRPr="00E1395F">
        <w:rPr>
          <w:vertAlign w:val="subscript"/>
        </w:rPr>
        <w:t>1-x</w:t>
      </w:r>
      <w:r w:rsidRPr="00E1395F">
        <w:t>Nb</w:t>
      </w:r>
      <w:r w:rsidRPr="00E1395F">
        <w:rPr>
          <w:vertAlign w:val="subscript"/>
        </w:rPr>
        <w:t>x</w:t>
      </w:r>
      <w:r w:rsidRPr="00E1395F">
        <w:t>O</w:t>
      </w:r>
      <w:r w:rsidRPr="00E1395F">
        <w:rPr>
          <w:vertAlign w:val="subscript"/>
        </w:rPr>
        <w:t>3</w:t>
      </w:r>
      <w:r w:rsidRPr="00E1395F">
        <w:rPr>
          <w:b/>
        </w:rPr>
        <w:t xml:space="preserve"> </w:t>
      </w:r>
      <w:r>
        <w:t xml:space="preserve">upon cooling, while being simpler (no alloying). The high-temperature </w:t>
      </w:r>
      <w:proofErr w:type="spellStart"/>
      <w:r>
        <w:t>paraelectric</w:t>
      </w:r>
      <w:proofErr w:type="spellEnd"/>
      <w:r>
        <w:t xml:space="preserve"> phase is cubic </w:t>
      </w:r>
      <w:proofErr w:type="spellStart"/>
      <w:r>
        <w:t>perovskite</w:t>
      </w:r>
      <w:proofErr w:type="spellEnd"/>
      <w:r>
        <w:t xml:space="preserve"> (T&gt;T</w:t>
      </w:r>
      <w:r>
        <w:rPr>
          <w:vertAlign w:val="subscript"/>
        </w:rPr>
        <w:t>C</w:t>
      </w:r>
      <w:r>
        <w:t xml:space="preserve">= 400K), successfully transforming upon cooling to a tetragonal phase (280&lt;T&lt;400K), then an orthorhombic phase (180&lt;T&lt;280K), and eventually a </w:t>
      </w:r>
      <w:proofErr w:type="spellStart"/>
      <w:r>
        <w:t>rhombohedral</w:t>
      </w:r>
      <w:proofErr w:type="spellEnd"/>
      <w:r>
        <w:t xml:space="preserve"> phase (T&lt;180K). While the cubic phase is experimentally stable (mechanically and thermodynamically) at elevated temperature, traditional DFT calculations of phonons in the harmonic approximation yield unstable phonon dispersions (represented</w:t>
      </w:r>
      <w:r w:rsidR="00B100FD">
        <w:t xml:space="preserve"> as negative frequencies in Figure</w:t>
      </w:r>
      <w:r>
        <w:t xml:space="preserve"> 1</w:t>
      </w:r>
      <w:r w:rsidR="00B100FD">
        <w:t>0</w:t>
      </w:r>
      <w:r>
        <w:t>a, in agreement with results in the literature, see Fig</w:t>
      </w:r>
      <w:r w:rsidR="00B100FD">
        <w:t>ure 10</w:t>
      </w:r>
      <w:r>
        <w:t xml:space="preserve">b). With a combination of </w:t>
      </w:r>
      <w:proofErr w:type="spellStart"/>
      <w:r>
        <w:t>ab</w:t>
      </w:r>
      <w:proofErr w:type="spellEnd"/>
      <w:r>
        <w:t xml:space="preserve">-initio molecular dynamics calculations at finite temperature, and an effective lattice dynamics model capturing </w:t>
      </w:r>
      <w:proofErr w:type="spellStart"/>
      <w:r>
        <w:t>anharmonic</w:t>
      </w:r>
      <w:proofErr w:type="spellEnd"/>
      <w:r>
        <w:t xml:space="preserve"> force-constants, we are able to reproduce the </w:t>
      </w:r>
      <w:proofErr w:type="spellStart"/>
      <w:r>
        <w:t>anharmonic</w:t>
      </w:r>
      <w:proofErr w:type="spellEnd"/>
      <w:r>
        <w:t xml:space="preserve"> stabilization of phonons at finite temp</w:t>
      </w:r>
      <w:r w:rsidR="00B100FD">
        <w:t>erature. This is seen in Figure 10</w:t>
      </w:r>
      <w:r>
        <w:t xml:space="preserve">c, where all phonon energies predicted by our </w:t>
      </w:r>
      <w:proofErr w:type="spellStart"/>
      <w:r>
        <w:t>anharmonic</w:t>
      </w:r>
      <w:proofErr w:type="spellEnd"/>
      <w:r>
        <w:t xml:space="preserve"> calculation are positive, and show excellent agreement with reported measurements. </w:t>
      </w:r>
    </w:p>
    <w:p w:rsidR="00D745CF" w:rsidRDefault="00D745CF" w:rsidP="00D745CF">
      <w:pPr>
        <w:spacing w:after="0" w:line="240" w:lineRule="auto"/>
        <w:jc w:val="both"/>
        <w:rPr>
          <w:u w:val="single"/>
        </w:rPr>
      </w:pPr>
    </w:p>
    <w:p w:rsidR="009310F3" w:rsidRDefault="00825B3F" w:rsidP="00D745CF">
      <w:pPr>
        <w:spacing w:after="0" w:line="240" w:lineRule="auto"/>
        <w:jc w:val="both"/>
      </w:pPr>
      <w:r>
        <w:t xml:space="preserve">We performed </w:t>
      </w:r>
      <w:proofErr w:type="spellStart"/>
      <w:r>
        <w:t>ab</w:t>
      </w:r>
      <w:proofErr w:type="spellEnd"/>
      <w:r>
        <w:t>-</w:t>
      </w:r>
      <w:r w:rsidR="009310F3" w:rsidRPr="00264D22">
        <w:t>initio MD calculations to obtain the force constants at</w:t>
      </w:r>
      <w:r w:rsidR="009310F3">
        <w:t xml:space="preserve"> </w:t>
      </w:r>
      <w:r w:rsidR="009310F3" w:rsidRPr="00264D22">
        <w:t xml:space="preserve">finite temperature for </w:t>
      </w:r>
      <w:r w:rsidR="009310F3">
        <w:t xml:space="preserve">BTO cubic structures. Calculations were performed on </w:t>
      </w:r>
      <w:r w:rsidR="00225E95">
        <w:t xml:space="preserve">the </w:t>
      </w:r>
      <w:r w:rsidR="009310F3">
        <w:t xml:space="preserve">NERSC </w:t>
      </w:r>
      <w:r>
        <w:t>supercomputer</w:t>
      </w:r>
      <w:r w:rsidR="009310F3">
        <w:t xml:space="preserve"> </w:t>
      </w:r>
      <w:r w:rsidR="00225E95" w:rsidRPr="00225E95">
        <w:rPr>
          <w:i/>
        </w:rPr>
        <w:t>hopper.nersc.gov</w:t>
      </w:r>
      <w:r w:rsidR="00225E95">
        <w:t xml:space="preserve"> </w:t>
      </w:r>
      <w:r w:rsidR="009310F3">
        <w:t>and on the MSTD blocks of the Oak Ridge Institutional Cluster. We used a 3</w:t>
      </w:r>
      <w:r w:rsidR="009310F3">
        <w:sym w:font="Symbol" w:char="F0B4"/>
      </w:r>
      <w:r w:rsidR="009310F3">
        <w:t>3</w:t>
      </w:r>
      <w:r w:rsidR="009310F3">
        <w:sym w:font="Symbol" w:char="F0B4"/>
      </w:r>
      <w:r w:rsidR="009310F3" w:rsidRPr="00264D22">
        <w:t xml:space="preserve">3 </w:t>
      </w:r>
      <w:proofErr w:type="spellStart"/>
      <w:r w:rsidR="009310F3" w:rsidRPr="00264D22">
        <w:t>supercell</w:t>
      </w:r>
      <w:proofErr w:type="spellEnd"/>
      <w:r w:rsidR="009310F3">
        <w:t xml:space="preserve"> (135 atoms)</w:t>
      </w:r>
      <w:r w:rsidR="009310F3" w:rsidRPr="00264D22">
        <w:t>,</w:t>
      </w:r>
      <w:r w:rsidR="009310F3">
        <w:t xml:space="preserve"> described with the</w:t>
      </w:r>
      <w:r w:rsidR="009310F3" w:rsidRPr="00264D22">
        <w:t xml:space="preserve"> PBE </w:t>
      </w:r>
      <w:r w:rsidR="009310F3">
        <w:t>exchange-correlation functional, as implemented in the</w:t>
      </w:r>
      <w:r w:rsidR="009310F3" w:rsidRPr="00264D22">
        <w:t xml:space="preserve"> VASP </w:t>
      </w:r>
      <w:r w:rsidR="009310F3">
        <w:t xml:space="preserve">software </w:t>
      </w:r>
      <w:r w:rsidR="009310F3" w:rsidRPr="00264D22">
        <w:t>package</w:t>
      </w:r>
      <w:r w:rsidR="009310F3">
        <w:t xml:space="preserve"> to ob</w:t>
      </w:r>
      <w:r>
        <w:t xml:space="preserve">tain the </w:t>
      </w:r>
      <w:proofErr w:type="spellStart"/>
      <w:r>
        <w:t>ab</w:t>
      </w:r>
      <w:proofErr w:type="spellEnd"/>
      <w:r>
        <w:t>-initio MD trajectories</w:t>
      </w:r>
      <w:r w:rsidR="009310F3" w:rsidRPr="00264D22">
        <w:t>. For each temperature, we</w:t>
      </w:r>
      <w:r w:rsidR="009310F3">
        <w:t xml:space="preserve"> </w:t>
      </w:r>
      <w:r w:rsidR="009310F3" w:rsidRPr="00264D22">
        <w:t>chose f</w:t>
      </w:r>
      <w:r w:rsidR="009310F3">
        <w:t>ive different volumes in the</w:t>
      </w:r>
      <w:r w:rsidR="009310F3" w:rsidRPr="00264D22">
        <w:t xml:space="preserve"> MD calculations (with 3000 time</w:t>
      </w:r>
      <w:r w:rsidR="009310F3">
        <w:t xml:space="preserve"> </w:t>
      </w:r>
      <w:r w:rsidR="009310F3" w:rsidRPr="00264D22">
        <w:t>steps</w:t>
      </w:r>
      <w:r w:rsidR="009310F3">
        <w:t xml:space="preserve"> each</w:t>
      </w:r>
      <w:r w:rsidR="009310F3" w:rsidRPr="00264D22">
        <w:t>)</w:t>
      </w:r>
      <w:r w:rsidR="009310F3">
        <w:t>, in order</w:t>
      </w:r>
      <w:r w:rsidR="009310F3" w:rsidRPr="00264D22">
        <w:t xml:space="preserve"> to obtain the free energy, </w:t>
      </w:r>
      <w:r w:rsidR="009310F3">
        <w:t>from which the equilibrium volume was derived. After this procedure</w:t>
      </w:r>
      <w:r w:rsidR="009310F3" w:rsidRPr="00264D22">
        <w:t>, we performed high</w:t>
      </w:r>
      <w:r w:rsidR="009310F3">
        <w:t>-</w:t>
      </w:r>
      <w:r w:rsidR="009310F3" w:rsidRPr="00264D22">
        <w:t xml:space="preserve">accuracy calculation with </w:t>
      </w:r>
      <w:r w:rsidR="009310F3">
        <w:t xml:space="preserve">an energy </w:t>
      </w:r>
      <w:r w:rsidR="009310F3" w:rsidRPr="00264D22">
        <w:t>cutoff</w:t>
      </w:r>
      <w:r w:rsidR="009310F3">
        <w:t xml:space="preserve"> of</w:t>
      </w:r>
      <w:r w:rsidR="009310F3" w:rsidRPr="00264D22">
        <w:t xml:space="preserve"> 500 </w:t>
      </w:r>
      <w:proofErr w:type="spellStart"/>
      <w:r w:rsidR="009310F3" w:rsidRPr="00264D22">
        <w:t>eV</w:t>
      </w:r>
      <w:proofErr w:type="spellEnd"/>
      <w:r w:rsidR="009310F3">
        <w:t xml:space="preserve"> for electronic </w:t>
      </w:r>
      <w:r w:rsidR="009310F3" w:rsidRPr="00264D22">
        <w:t>plane-wave</w:t>
      </w:r>
      <w:r w:rsidR="009310F3">
        <w:t>s,</w:t>
      </w:r>
      <w:r w:rsidR="009310F3" w:rsidRPr="00264D22">
        <w:t xml:space="preserve"> and </w:t>
      </w:r>
      <w:r w:rsidR="009310F3">
        <w:t xml:space="preserve">a </w:t>
      </w:r>
      <w:r w:rsidR="009310F3" w:rsidRPr="00264D22">
        <w:t>Gamma-centered</w:t>
      </w:r>
      <w:r w:rsidR="009310F3">
        <w:t xml:space="preserve"> 3</w:t>
      </w:r>
      <w:r w:rsidR="009310F3">
        <w:sym w:font="Symbol" w:char="F0B4"/>
      </w:r>
      <w:r w:rsidR="009310F3">
        <w:t>3</w:t>
      </w:r>
      <w:r w:rsidR="009310F3">
        <w:sym w:font="Symbol" w:char="F0B4"/>
      </w:r>
      <w:r w:rsidR="009310F3" w:rsidRPr="00264D22">
        <w:t>3 K</w:t>
      </w:r>
      <w:r w:rsidR="009310F3">
        <w:t>-</w:t>
      </w:r>
      <w:r w:rsidR="009310F3" w:rsidRPr="00264D22">
        <w:t>point mesh</w:t>
      </w:r>
      <w:r w:rsidR="009310F3">
        <w:t xml:space="preserve"> for the electronic states,</w:t>
      </w:r>
      <w:r w:rsidR="009310F3" w:rsidRPr="00264D22">
        <w:t xml:space="preserve"> with 10000 time steps</w:t>
      </w:r>
      <w:r w:rsidR="009310F3">
        <w:t xml:space="preserve"> for MD ion motions. Sampling from the ion trajectory</w:t>
      </w:r>
      <w:r w:rsidR="009310F3" w:rsidRPr="00264D22">
        <w:t xml:space="preserve"> </w:t>
      </w:r>
      <w:r w:rsidR="00225E95">
        <w:t xml:space="preserve">was used to </w:t>
      </w:r>
      <w:r w:rsidR="009310F3">
        <w:t xml:space="preserve">extract both the harmonic and </w:t>
      </w:r>
      <w:proofErr w:type="spellStart"/>
      <w:r w:rsidR="009310F3">
        <w:t>anharmonic</w:t>
      </w:r>
      <w:proofErr w:type="spellEnd"/>
      <w:r w:rsidR="009310F3">
        <w:t xml:space="preserve"> components of the </w:t>
      </w:r>
      <w:proofErr w:type="spellStart"/>
      <w:r w:rsidR="009310F3">
        <w:t>interactomic</w:t>
      </w:r>
      <w:proofErr w:type="spellEnd"/>
      <w:r w:rsidR="009310F3">
        <w:t xml:space="preserve"> force-constant matrices. Using these force-constants, the finite-temperature </w:t>
      </w:r>
      <w:r w:rsidR="009310F3" w:rsidRPr="00264D22">
        <w:t>phonon dispersion</w:t>
      </w:r>
      <w:r w:rsidR="009310F3">
        <w:t>s</w:t>
      </w:r>
      <w:r w:rsidR="009310F3" w:rsidRPr="00264D22">
        <w:t xml:space="preserve"> </w:t>
      </w:r>
      <w:r w:rsidR="009310F3">
        <w:t>were calculated</w:t>
      </w:r>
      <w:r w:rsidR="009310F3" w:rsidRPr="00264D22">
        <w:t>.</w:t>
      </w:r>
      <w:r w:rsidR="009310F3">
        <w:t xml:space="preserve"> In addition, the phonon </w:t>
      </w:r>
      <w:proofErr w:type="spellStart"/>
      <w:r w:rsidR="009310F3">
        <w:t>linewidths</w:t>
      </w:r>
      <w:proofErr w:type="spellEnd"/>
      <w:r w:rsidR="009310F3">
        <w:t xml:space="preserve"> and full spectral functions were also calculated (not shown here). Measurements of BaTiO</w:t>
      </w:r>
      <w:r w:rsidR="009310F3" w:rsidRPr="00807748">
        <w:rPr>
          <w:vertAlign w:val="subscript"/>
        </w:rPr>
        <w:t>3</w:t>
      </w:r>
      <w:r w:rsidR="00FB043A">
        <w:t xml:space="preserve"> on HYSPEC</w:t>
      </w:r>
      <w:r w:rsidR="009310F3">
        <w:t xml:space="preserve"> at SNS are scheduled for 1</w:t>
      </w:r>
      <w:r w:rsidR="009310F3">
        <w:rPr>
          <w:vertAlign w:val="superscript"/>
        </w:rPr>
        <w:t>st</w:t>
      </w:r>
      <w:r w:rsidR="009310F3">
        <w:t xml:space="preserve"> quarter FY14, and should enable a more detailed comparison wi</w:t>
      </w:r>
      <w:r w:rsidR="00D745CF">
        <w:t xml:space="preserve">th the </w:t>
      </w:r>
      <w:proofErr w:type="spellStart"/>
      <w:r w:rsidR="00D745CF">
        <w:t>anharmonic</w:t>
      </w:r>
      <w:proofErr w:type="spellEnd"/>
      <w:r w:rsidR="00D745CF">
        <w:t xml:space="preserve"> calculations.</w:t>
      </w:r>
    </w:p>
    <w:p w:rsidR="00D745CF" w:rsidRDefault="00D745CF" w:rsidP="00D745CF">
      <w:pPr>
        <w:spacing w:after="0" w:line="240" w:lineRule="auto"/>
        <w:jc w:val="both"/>
      </w:pPr>
    </w:p>
    <w:p w:rsidR="003C5437" w:rsidRDefault="009310F3" w:rsidP="00D745CF">
      <w:pPr>
        <w:spacing w:after="0" w:line="240" w:lineRule="auto"/>
        <w:jc w:val="both"/>
      </w:pPr>
      <w:r>
        <w:t>In the 4</w:t>
      </w:r>
      <w:r w:rsidRPr="00807748">
        <w:rPr>
          <w:vertAlign w:val="superscript"/>
        </w:rPr>
        <w:t>th</w:t>
      </w:r>
      <w:r>
        <w:t xml:space="preserve"> quarter of FY13, we anticipate that calculations will be performed on </w:t>
      </w:r>
      <w:r w:rsidRPr="00E1395F">
        <w:t>KTa</w:t>
      </w:r>
      <w:r w:rsidRPr="00E1395F">
        <w:rPr>
          <w:vertAlign w:val="subscript"/>
        </w:rPr>
        <w:t>1-x</w:t>
      </w:r>
      <w:r w:rsidRPr="00E1395F">
        <w:t>Nb</w:t>
      </w:r>
      <w:r w:rsidRPr="00E1395F">
        <w:rPr>
          <w:vertAlign w:val="subscript"/>
        </w:rPr>
        <w:t>x</w:t>
      </w:r>
      <w:r w:rsidRPr="00E1395F">
        <w:t>O</w:t>
      </w:r>
      <w:r w:rsidRPr="00E1395F">
        <w:rPr>
          <w:vertAlign w:val="subscript"/>
        </w:rPr>
        <w:t>3</w:t>
      </w:r>
      <w:r>
        <w:rPr>
          <w:vertAlign w:val="subscript"/>
        </w:rPr>
        <w:t xml:space="preserve"> </w:t>
      </w:r>
      <w:r>
        <w:t xml:space="preserve">(x=0 and 1) in the cubic phase, to determine the relative importance of </w:t>
      </w:r>
      <w:proofErr w:type="spellStart"/>
      <w:r>
        <w:t>anharmonicity</w:t>
      </w:r>
      <w:proofErr w:type="spellEnd"/>
      <w:r>
        <w:t xml:space="preserve"> in stabilizing the phonons, for the two end-members of the alloy. In addition, we will leverage simulation codes enabling the quantitative calculation of the single-crystal dynamical structure factor for phonons, </w:t>
      </w:r>
      <w:proofErr w:type="spellStart"/>
      <w:proofErr w:type="gramStart"/>
      <w:r>
        <w:t>S</w:t>
      </w:r>
      <w:r>
        <w:rPr>
          <w:vertAlign w:val="subscript"/>
        </w:rPr>
        <w:t>ph</w:t>
      </w:r>
      <w:proofErr w:type="spellEnd"/>
      <w:r>
        <w:t>(</w:t>
      </w:r>
      <w:proofErr w:type="gramEnd"/>
      <w:r w:rsidRPr="00A32375">
        <w:rPr>
          <w:b/>
        </w:rPr>
        <w:t>Q</w:t>
      </w:r>
      <w:r>
        <w:t xml:space="preserve">,E), </w:t>
      </w:r>
      <w:r w:rsidRPr="00A32375">
        <w:t>directly</w:t>
      </w:r>
      <w:r>
        <w:t xml:space="preserve"> measured in inelastic neutron scattering experiments, to obtain the </w:t>
      </w:r>
      <w:proofErr w:type="spellStart"/>
      <w:r>
        <w:t>anharmonic</w:t>
      </w:r>
      <w:proofErr w:type="spellEnd"/>
      <w:r>
        <w:t xml:space="preserve"> </w:t>
      </w:r>
      <w:proofErr w:type="spellStart"/>
      <w:r>
        <w:t>S</w:t>
      </w:r>
      <w:r>
        <w:rPr>
          <w:vertAlign w:val="subscript"/>
        </w:rPr>
        <w:t>anh</w:t>
      </w:r>
      <w:proofErr w:type="spellEnd"/>
      <w:r>
        <w:t>(</w:t>
      </w:r>
      <w:r w:rsidRPr="00A32375">
        <w:rPr>
          <w:b/>
        </w:rPr>
        <w:t>Q</w:t>
      </w:r>
      <w:r>
        <w:t>,E), corresponding to the measurements at high temperatures. Also, we will investigate theoretical approaches enabling the calculation of phonons under an external applied electric field in BaTiO</w:t>
      </w:r>
      <w:r w:rsidRPr="00807748">
        <w:rPr>
          <w:vertAlign w:val="subscript"/>
        </w:rPr>
        <w:t>3</w:t>
      </w:r>
      <w:r>
        <w:t xml:space="preserve"> (measurements under electric field are scheduled on </w:t>
      </w:r>
      <w:r w:rsidR="008F513D">
        <w:t>HYSPEC</w:t>
      </w:r>
      <w:r>
        <w:t xml:space="preserve"> for 4</w:t>
      </w:r>
      <w:r w:rsidRPr="00807748">
        <w:rPr>
          <w:vertAlign w:val="superscript"/>
        </w:rPr>
        <w:t>th</w:t>
      </w:r>
      <w:r>
        <w:t xml:space="preserve"> quarter of FY13).</w:t>
      </w:r>
    </w:p>
    <w:p w:rsidR="00AB43AC" w:rsidRPr="00807748" w:rsidRDefault="00AB43AC" w:rsidP="00D745CF">
      <w:pPr>
        <w:spacing w:after="0" w:line="240" w:lineRule="auto"/>
        <w:jc w:val="both"/>
      </w:pPr>
    </w:p>
    <w:tbl>
      <w:tblPr>
        <w:tblStyle w:val="TableGrid"/>
        <w:tblW w:w="4371" w:type="pct"/>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1"/>
        <w:gridCol w:w="720"/>
        <w:gridCol w:w="4230"/>
      </w:tblGrid>
      <w:tr w:rsidR="009310F3" w:rsidTr="003C5437">
        <w:tc>
          <w:tcPr>
            <w:tcW w:w="2250" w:type="pct"/>
          </w:tcPr>
          <w:p w:rsidR="009310F3" w:rsidRDefault="009310F3" w:rsidP="009310F3">
            <w:pPr>
              <w:jc w:val="center"/>
              <w:rPr>
                <w:rFonts w:asciiTheme="majorHAnsi" w:hAnsiTheme="majorHAnsi"/>
              </w:rPr>
            </w:pPr>
            <w:r w:rsidRPr="0081317D">
              <w:rPr>
                <w:rFonts w:asciiTheme="majorHAnsi" w:hAnsiTheme="majorHAnsi"/>
                <w:noProof/>
              </w:rPr>
              <w:lastRenderedPageBreak/>
              <w:drawing>
                <wp:inline distT="0" distB="0" distL="0" distR="0">
                  <wp:extent cx="2047603" cy="1591653"/>
                  <wp:effectExtent l="0" t="0" r="10160" b="0"/>
                  <wp:docPr id="2" name="Picture 1" descr="ban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and.eps"/>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9295" cy="1592968"/>
                          </a:xfrm>
                          <a:prstGeom prst="rect">
                            <a:avLst/>
                          </a:prstGeom>
                        </pic:spPr>
                      </pic:pic>
                    </a:graphicData>
                  </a:graphic>
                </wp:inline>
              </w:drawing>
            </w:r>
          </w:p>
        </w:tc>
        <w:tc>
          <w:tcPr>
            <w:tcW w:w="400" w:type="pct"/>
          </w:tcPr>
          <w:p w:rsidR="009310F3" w:rsidRPr="0081317D" w:rsidRDefault="009310F3" w:rsidP="00FE479E">
            <w:pPr>
              <w:rPr>
                <w:rFonts w:asciiTheme="majorHAnsi" w:hAnsiTheme="majorHAnsi"/>
                <w:noProof/>
              </w:rPr>
            </w:pPr>
          </w:p>
        </w:tc>
        <w:tc>
          <w:tcPr>
            <w:tcW w:w="2350" w:type="pct"/>
          </w:tcPr>
          <w:p w:rsidR="009310F3" w:rsidRDefault="009310F3" w:rsidP="009310F3">
            <w:pPr>
              <w:jc w:val="center"/>
              <w:rPr>
                <w:rFonts w:asciiTheme="majorHAnsi" w:hAnsiTheme="majorHAnsi"/>
              </w:rPr>
            </w:pPr>
            <w:r w:rsidRPr="0081317D">
              <w:rPr>
                <w:rFonts w:asciiTheme="majorHAnsi" w:hAnsiTheme="majorHAnsi"/>
                <w:noProof/>
              </w:rPr>
              <w:drawing>
                <wp:inline distT="0" distB="0" distL="0" distR="0">
                  <wp:extent cx="1918562" cy="1479722"/>
                  <wp:effectExtent l="0" t="0" r="1206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stretch>
                            <a:fillRect/>
                          </a:stretch>
                        </pic:blipFill>
                        <pic:spPr>
                          <a:xfrm>
                            <a:off x="0" y="0"/>
                            <a:ext cx="1920473" cy="1481196"/>
                          </a:xfrm>
                          <a:prstGeom prst="rect">
                            <a:avLst/>
                          </a:prstGeom>
                        </pic:spPr>
                      </pic:pic>
                    </a:graphicData>
                  </a:graphic>
                </wp:inline>
              </w:drawing>
            </w:r>
          </w:p>
        </w:tc>
      </w:tr>
      <w:tr w:rsidR="009310F3" w:rsidTr="003C5437">
        <w:tc>
          <w:tcPr>
            <w:tcW w:w="2250" w:type="pct"/>
          </w:tcPr>
          <w:p w:rsidR="009310F3" w:rsidRPr="00936401" w:rsidRDefault="00B100FD" w:rsidP="009310F3">
            <w:pPr>
              <w:jc w:val="both"/>
              <w:rPr>
                <w:sz w:val="20"/>
                <w:szCs w:val="20"/>
              </w:rPr>
            </w:pPr>
            <w:r>
              <w:rPr>
                <w:sz w:val="20"/>
                <w:szCs w:val="20"/>
              </w:rPr>
              <w:t>Figure 10</w:t>
            </w:r>
            <w:r w:rsidR="009310F3" w:rsidRPr="00936401">
              <w:rPr>
                <w:sz w:val="20"/>
                <w:szCs w:val="20"/>
              </w:rPr>
              <w:t xml:space="preserve">a: Phonon dispersions for cubic BTO at zero Kelvin, harmonic calculation. Soft modes (negative frequencies) </w:t>
            </w:r>
            <w:proofErr w:type="gramStart"/>
            <w:r w:rsidR="009310F3" w:rsidRPr="00936401">
              <w:rPr>
                <w:sz w:val="20"/>
                <w:szCs w:val="20"/>
              </w:rPr>
              <w:t>confirm  that</w:t>
            </w:r>
            <w:proofErr w:type="gramEnd"/>
            <w:r w:rsidR="009310F3" w:rsidRPr="00936401">
              <w:rPr>
                <w:sz w:val="20"/>
                <w:szCs w:val="20"/>
              </w:rPr>
              <w:t xml:space="preserve"> cubic BTO is mechanically unstable at zero K. Our results agree with previous </w:t>
            </w:r>
            <w:proofErr w:type="gramStart"/>
            <w:r w:rsidR="009310F3" w:rsidRPr="00936401">
              <w:rPr>
                <w:sz w:val="20"/>
                <w:szCs w:val="20"/>
              </w:rPr>
              <w:t>harmonic  DFT</w:t>
            </w:r>
            <w:proofErr w:type="gramEnd"/>
            <w:r w:rsidR="009310F3" w:rsidRPr="00936401">
              <w:rPr>
                <w:sz w:val="20"/>
                <w:szCs w:val="20"/>
              </w:rPr>
              <w:t xml:space="preserve"> calculations (1-b).</w:t>
            </w:r>
          </w:p>
        </w:tc>
        <w:tc>
          <w:tcPr>
            <w:tcW w:w="400" w:type="pct"/>
          </w:tcPr>
          <w:p w:rsidR="009310F3" w:rsidRPr="003A72DB" w:rsidRDefault="009310F3" w:rsidP="00FE479E">
            <w:pPr>
              <w:rPr>
                <w:rFonts w:asciiTheme="majorHAnsi" w:hAnsiTheme="majorHAnsi"/>
                <w:sz w:val="20"/>
                <w:szCs w:val="20"/>
              </w:rPr>
            </w:pPr>
          </w:p>
        </w:tc>
        <w:tc>
          <w:tcPr>
            <w:tcW w:w="2350" w:type="pct"/>
          </w:tcPr>
          <w:p w:rsidR="009310F3" w:rsidRPr="00936401" w:rsidRDefault="00B100FD" w:rsidP="009310F3">
            <w:pPr>
              <w:jc w:val="both"/>
              <w:rPr>
                <w:rFonts w:ascii="Calibri" w:hAnsi="Calibri"/>
                <w:sz w:val="20"/>
                <w:szCs w:val="20"/>
              </w:rPr>
            </w:pPr>
            <w:r>
              <w:rPr>
                <w:rFonts w:ascii="Calibri" w:hAnsi="Calibri"/>
                <w:sz w:val="20"/>
                <w:szCs w:val="20"/>
              </w:rPr>
              <w:t>Figure</w:t>
            </w:r>
            <w:r w:rsidR="009310F3" w:rsidRPr="00936401">
              <w:rPr>
                <w:rFonts w:ascii="Calibri" w:hAnsi="Calibri"/>
                <w:sz w:val="20"/>
                <w:szCs w:val="20"/>
              </w:rPr>
              <w:t xml:space="preserve"> </w:t>
            </w:r>
            <w:r>
              <w:rPr>
                <w:rFonts w:ascii="Calibri" w:hAnsi="Calibri"/>
                <w:sz w:val="20"/>
                <w:szCs w:val="20"/>
              </w:rPr>
              <w:t>10</w:t>
            </w:r>
            <w:r w:rsidR="009310F3" w:rsidRPr="00936401">
              <w:rPr>
                <w:rFonts w:ascii="Calibri" w:hAnsi="Calibri"/>
                <w:sz w:val="20"/>
                <w:szCs w:val="20"/>
              </w:rPr>
              <w:t>b: Previously reported theoretical calculations with harmonic DFT [</w:t>
            </w:r>
            <w:proofErr w:type="spellStart"/>
            <w:r w:rsidR="009310F3" w:rsidRPr="00936401">
              <w:rPr>
                <w:rFonts w:ascii="Calibri" w:hAnsi="Calibri"/>
                <w:sz w:val="20"/>
                <w:szCs w:val="20"/>
              </w:rPr>
              <w:t>Ghosez</w:t>
            </w:r>
            <w:proofErr w:type="spellEnd"/>
            <w:r w:rsidR="009310F3" w:rsidRPr="00936401">
              <w:rPr>
                <w:rFonts w:ascii="Calibri" w:hAnsi="Calibri"/>
                <w:sz w:val="20"/>
                <w:szCs w:val="20"/>
              </w:rPr>
              <w:t xml:space="preserve"> </w:t>
            </w:r>
            <w:r w:rsidR="009310F3" w:rsidRPr="00936401">
              <w:rPr>
                <w:rFonts w:ascii="Calibri" w:hAnsi="Calibri"/>
                <w:i/>
                <w:sz w:val="20"/>
                <w:szCs w:val="20"/>
              </w:rPr>
              <w:t>et al.</w:t>
            </w:r>
            <w:r w:rsidR="009310F3" w:rsidRPr="00936401">
              <w:rPr>
                <w:rFonts w:ascii="Calibri" w:hAnsi="Calibri"/>
                <w:sz w:val="20"/>
                <w:szCs w:val="20"/>
              </w:rPr>
              <w:t>, PRB 60, 836 (1999)].</w:t>
            </w:r>
          </w:p>
          <w:p w:rsidR="009310F3" w:rsidRPr="003A72DB" w:rsidRDefault="009310F3" w:rsidP="00FE479E">
            <w:pPr>
              <w:rPr>
                <w:rFonts w:asciiTheme="majorHAnsi" w:hAnsiTheme="majorHAnsi"/>
                <w:sz w:val="20"/>
                <w:szCs w:val="20"/>
              </w:rPr>
            </w:pPr>
          </w:p>
        </w:tc>
      </w:tr>
      <w:tr w:rsidR="009310F3" w:rsidTr="003C5437">
        <w:tc>
          <w:tcPr>
            <w:tcW w:w="2250" w:type="pct"/>
          </w:tcPr>
          <w:p w:rsidR="009310F3" w:rsidRDefault="009310F3" w:rsidP="00FE479E">
            <w:pPr>
              <w:rPr>
                <w:rFonts w:asciiTheme="majorHAnsi" w:hAnsiTheme="majorHAnsi"/>
                <w:sz w:val="20"/>
                <w:szCs w:val="20"/>
              </w:rPr>
            </w:pPr>
          </w:p>
          <w:p w:rsidR="003C5437" w:rsidRPr="003A72DB" w:rsidRDefault="003C5437" w:rsidP="00FE479E">
            <w:pPr>
              <w:rPr>
                <w:rFonts w:asciiTheme="majorHAnsi" w:hAnsiTheme="majorHAnsi"/>
                <w:sz w:val="20"/>
                <w:szCs w:val="20"/>
              </w:rPr>
            </w:pPr>
          </w:p>
        </w:tc>
        <w:tc>
          <w:tcPr>
            <w:tcW w:w="400" w:type="pct"/>
          </w:tcPr>
          <w:p w:rsidR="009310F3" w:rsidRPr="003A72DB" w:rsidRDefault="009310F3" w:rsidP="00FE479E">
            <w:pPr>
              <w:rPr>
                <w:rFonts w:asciiTheme="majorHAnsi" w:hAnsiTheme="majorHAnsi"/>
                <w:sz w:val="20"/>
                <w:szCs w:val="20"/>
              </w:rPr>
            </w:pPr>
          </w:p>
        </w:tc>
        <w:tc>
          <w:tcPr>
            <w:tcW w:w="2350" w:type="pct"/>
          </w:tcPr>
          <w:p w:rsidR="009310F3" w:rsidRPr="003A72DB" w:rsidRDefault="009310F3" w:rsidP="00FE479E">
            <w:pPr>
              <w:rPr>
                <w:rFonts w:asciiTheme="majorHAnsi" w:hAnsiTheme="majorHAnsi"/>
                <w:sz w:val="20"/>
                <w:szCs w:val="20"/>
              </w:rPr>
            </w:pPr>
          </w:p>
        </w:tc>
      </w:tr>
      <w:tr w:rsidR="009310F3" w:rsidTr="003C5437">
        <w:tc>
          <w:tcPr>
            <w:tcW w:w="2250" w:type="pct"/>
          </w:tcPr>
          <w:p w:rsidR="009310F3" w:rsidRPr="003A72DB" w:rsidRDefault="009310F3" w:rsidP="009310F3">
            <w:pPr>
              <w:jc w:val="center"/>
              <w:rPr>
                <w:rFonts w:asciiTheme="majorHAnsi" w:hAnsiTheme="majorHAnsi"/>
                <w:sz w:val="20"/>
                <w:szCs w:val="20"/>
              </w:rPr>
            </w:pPr>
            <w:r w:rsidRPr="0081317D">
              <w:rPr>
                <w:rFonts w:asciiTheme="majorHAnsi" w:hAnsiTheme="majorHAnsi"/>
                <w:noProof/>
              </w:rPr>
              <w:drawing>
                <wp:inline distT="0" distB="0" distL="0" distR="0">
                  <wp:extent cx="1947545" cy="1477794"/>
                  <wp:effectExtent l="0" t="0" r="8255" b="0"/>
                  <wp:docPr id="1" name="Picture 3" descr="dispersionex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ersionex1.eps"/>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9302" cy="1479127"/>
                          </a:xfrm>
                          <a:prstGeom prst="rect">
                            <a:avLst/>
                          </a:prstGeom>
                        </pic:spPr>
                      </pic:pic>
                    </a:graphicData>
                  </a:graphic>
                </wp:inline>
              </w:drawing>
            </w:r>
          </w:p>
        </w:tc>
        <w:tc>
          <w:tcPr>
            <w:tcW w:w="400" w:type="pct"/>
          </w:tcPr>
          <w:p w:rsidR="009310F3" w:rsidRPr="003A72DB" w:rsidRDefault="009310F3" w:rsidP="00FE479E">
            <w:pPr>
              <w:rPr>
                <w:rFonts w:asciiTheme="majorHAnsi" w:hAnsiTheme="majorHAnsi"/>
                <w:sz w:val="20"/>
                <w:szCs w:val="20"/>
              </w:rPr>
            </w:pPr>
          </w:p>
        </w:tc>
        <w:tc>
          <w:tcPr>
            <w:tcW w:w="2350" w:type="pct"/>
          </w:tcPr>
          <w:p w:rsidR="009310F3" w:rsidRPr="003A72DB" w:rsidRDefault="009310F3" w:rsidP="00FE479E">
            <w:pPr>
              <w:rPr>
                <w:rFonts w:asciiTheme="majorHAnsi" w:hAnsiTheme="majorHAnsi"/>
                <w:sz w:val="20"/>
                <w:szCs w:val="20"/>
              </w:rPr>
            </w:pPr>
          </w:p>
        </w:tc>
      </w:tr>
      <w:tr w:rsidR="009310F3" w:rsidTr="003C5437">
        <w:tc>
          <w:tcPr>
            <w:tcW w:w="2250" w:type="pct"/>
          </w:tcPr>
          <w:p w:rsidR="009310F3" w:rsidRPr="00936401" w:rsidRDefault="009310F3" w:rsidP="009310F3">
            <w:pPr>
              <w:jc w:val="both"/>
              <w:rPr>
                <w:sz w:val="20"/>
                <w:szCs w:val="20"/>
              </w:rPr>
            </w:pPr>
            <w:r w:rsidRPr="00936401">
              <w:rPr>
                <w:sz w:val="20"/>
                <w:szCs w:val="20"/>
              </w:rPr>
              <w:t>Fig</w:t>
            </w:r>
            <w:r w:rsidR="00B100FD">
              <w:rPr>
                <w:sz w:val="20"/>
                <w:szCs w:val="20"/>
              </w:rPr>
              <w:t>ure</w:t>
            </w:r>
            <w:r w:rsidRPr="00936401">
              <w:rPr>
                <w:sz w:val="20"/>
                <w:szCs w:val="20"/>
              </w:rPr>
              <w:t xml:space="preserve"> </w:t>
            </w:r>
            <w:r w:rsidR="00B100FD">
              <w:rPr>
                <w:sz w:val="20"/>
                <w:szCs w:val="20"/>
              </w:rPr>
              <w:t>10</w:t>
            </w:r>
            <w:r w:rsidRPr="00936401">
              <w:rPr>
                <w:sz w:val="20"/>
                <w:szCs w:val="20"/>
              </w:rPr>
              <w:t xml:space="preserve">c: Phonon dispersions for cubic BTO calculated at 440K, taking into account </w:t>
            </w:r>
            <w:proofErr w:type="spellStart"/>
            <w:r w:rsidRPr="00936401">
              <w:rPr>
                <w:sz w:val="20"/>
                <w:szCs w:val="20"/>
              </w:rPr>
              <w:t>anharmonic</w:t>
            </w:r>
            <w:proofErr w:type="spellEnd"/>
            <w:r w:rsidRPr="00936401">
              <w:rPr>
                <w:sz w:val="20"/>
                <w:szCs w:val="20"/>
              </w:rPr>
              <w:t xml:space="preserve"> effects. Notice the </w:t>
            </w:r>
            <w:proofErr w:type="spellStart"/>
            <w:r w:rsidRPr="00936401">
              <w:rPr>
                <w:sz w:val="20"/>
                <w:szCs w:val="20"/>
              </w:rPr>
              <w:t>anharmonic</w:t>
            </w:r>
            <w:proofErr w:type="spellEnd"/>
            <w:r w:rsidRPr="00936401">
              <w:rPr>
                <w:sz w:val="20"/>
                <w:szCs w:val="20"/>
              </w:rPr>
              <w:t xml:space="preserve"> stabilization (no negative frequencies), and the good agreement with experimental data [Harada </w:t>
            </w:r>
            <w:r w:rsidRPr="00936401">
              <w:rPr>
                <w:i/>
                <w:sz w:val="20"/>
                <w:szCs w:val="20"/>
              </w:rPr>
              <w:t>et al</w:t>
            </w:r>
            <w:r w:rsidRPr="00936401">
              <w:rPr>
                <w:sz w:val="20"/>
                <w:szCs w:val="20"/>
              </w:rPr>
              <w:t>., PRB 4, 155 (1971)].</w:t>
            </w:r>
          </w:p>
        </w:tc>
        <w:tc>
          <w:tcPr>
            <w:tcW w:w="400" w:type="pct"/>
          </w:tcPr>
          <w:p w:rsidR="009310F3" w:rsidRPr="003A72DB" w:rsidRDefault="009310F3" w:rsidP="00FE479E">
            <w:pPr>
              <w:rPr>
                <w:rFonts w:asciiTheme="majorHAnsi" w:hAnsiTheme="majorHAnsi"/>
                <w:sz w:val="20"/>
                <w:szCs w:val="20"/>
              </w:rPr>
            </w:pPr>
          </w:p>
        </w:tc>
        <w:tc>
          <w:tcPr>
            <w:tcW w:w="2350" w:type="pct"/>
          </w:tcPr>
          <w:p w:rsidR="009310F3" w:rsidRPr="003A72DB" w:rsidRDefault="009310F3" w:rsidP="00FE479E">
            <w:pPr>
              <w:rPr>
                <w:rFonts w:asciiTheme="majorHAnsi" w:hAnsiTheme="majorHAnsi"/>
                <w:sz w:val="20"/>
                <w:szCs w:val="20"/>
              </w:rPr>
            </w:pPr>
          </w:p>
        </w:tc>
      </w:tr>
    </w:tbl>
    <w:p w:rsidR="009310F3" w:rsidRDefault="009310F3" w:rsidP="009310F3">
      <w:pPr>
        <w:rPr>
          <w:rFonts w:asciiTheme="majorHAnsi" w:hAnsiTheme="majorHAnsi"/>
        </w:rPr>
      </w:pPr>
    </w:p>
    <w:p w:rsidR="00536EA3" w:rsidRDefault="00536EA3">
      <w:pPr>
        <w:rPr>
          <w:b/>
        </w:rPr>
      </w:pPr>
      <w:r>
        <w:rPr>
          <w:b/>
        </w:rPr>
        <w:br w:type="page"/>
      </w:r>
    </w:p>
    <w:p w:rsidR="00367F7A" w:rsidRPr="00102D27" w:rsidRDefault="00367F7A" w:rsidP="00D745CF">
      <w:pPr>
        <w:spacing w:after="0" w:line="240" w:lineRule="auto"/>
        <w:rPr>
          <w:b/>
        </w:rPr>
      </w:pPr>
      <w:r w:rsidRPr="00102D27">
        <w:rPr>
          <w:b/>
        </w:rPr>
        <w:lastRenderedPageBreak/>
        <w:t xml:space="preserve">Anticipated Work in </w:t>
      </w:r>
      <w:r>
        <w:rPr>
          <w:b/>
        </w:rPr>
        <w:t>Fourth</w:t>
      </w:r>
      <w:r w:rsidRPr="00102D27">
        <w:rPr>
          <w:b/>
        </w:rPr>
        <w:t xml:space="preserve"> Quarter FY2013</w:t>
      </w:r>
    </w:p>
    <w:p w:rsidR="00D745CF" w:rsidRDefault="00D745CF" w:rsidP="00D745CF">
      <w:pPr>
        <w:spacing w:after="0" w:line="240" w:lineRule="auto"/>
        <w:jc w:val="both"/>
      </w:pPr>
    </w:p>
    <w:p w:rsidR="00D745CF" w:rsidRDefault="00A45E6E" w:rsidP="00D745CF">
      <w:pPr>
        <w:spacing w:after="0" w:line="240" w:lineRule="auto"/>
        <w:jc w:val="both"/>
      </w:pPr>
      <w:r>
        <w:t>In the fourth</w:t>
      </w:r>
      <w:r w:rsidR="00367F7A">
        <w:t xml:space="preserve"> quarter of FY2013 we </w:t>
      </w:r>
      <w:r w:rsidR="00F52F5C">
        <w:t xml:space="preserve">will develop the user interface for the CAMM framework and continue with the SNS user projects, with the aim of being able to allow the users to run the software themselves from the camm.sns.gov login node. For the second thread, on the polymer electrolyte Polyethylene Oxide – Acrylic Acid we will integrate the coarse grained simulations into the framework and compare the results from the </w:t>
      </w:r>
      <w:proofErr w:type="gramStart"/>
      <w:r w:rsidR="00F52F5C">
        <w:t>coarse</w:t>
      </w:r>
      <w:proofErr w:type="gramEnd"/>
      <w:r w:rsidR="00F52F5C">
        <w:t xml:space="preserve"> grained and all atom simulations.</w:t>
      </w:r>
      <w:r w:rsidR="00367F7A">
        <w:t xml:space="preserve"> </w:t>
      </w:r>
      <w:r w:rsidR="00F52F5C">
        <w:t xml:space="preserve">For the third thread we will continue with the current </w:t>
      </w:r>
      <w:proofErr w:type="spellStart"/>
      <w:r w:rsidR="00F52F5C">
        <w:t>ab</w:t>
      </w:r>
      <w:proofErr w:type="spellEnd"/>
      <w:r w:rsidR="00F52F5C">
        <w:t>-initio simulations and prepare a strategy to integrate them in the CAMM framework.</w:t>
      </w:r>
    </w:p>
    <w:p w:rsidR="00367F7A" w:rsidRDefault="00367F7A" w:rsidP="00D745CF">
      <w:pPr>
        <w:spacing w:after="0" w:line="240" w:lineRule="auto"/>
        <w:jc w:val="both"/>
      </w:pPr>
    </w:p>
    <w:p w:rsidR="009310F3" w:rsidRDefault="009310F3" w:rsidP="00D745CF">
      <w:pPr>
        <w:spacing w:after="0" w:line="240" w:lineRule="auto"/>
        <w:rPr>
          <w:rFonts w:eastAsia="Times-Roman" w:cs="Times-Roman"/>
          <w:b/>
        </w:rPr>
      </w:pPr>
    </w:p>
    <w:p w:rsidR="00A14F7F" w:rsidRPr="009310F3" w:rsidRDefault="00A14F7F" w:rsidP="00D745CF">
      <w:pPr>
        <w:spacing w:after="0" w:line="240" w:lineRule="auto"/>
        <w:rPr>
          <w:rFonts w:eastAsia="Times-Roman" w:cs="Times-Roman"/>
          <w:b/>
        </w:rPr>
      </w:pPr>
      <w:r w:rsidRPr="00223B4F">
        <w:rPr>
          <w:rFonts w:eastAsia="Times-Roman" w:cs="Times-Roman"/>
          <w:b/>
        </w:rPr>
        <w:t>References</w:t>
      </w:r>
      <w:r w:rsidR="00D745CF">
        <w:rPr>
          <w:rFonts w:eastAsia="Times-Roman" w:cs="Times-Roman"/>
        </w:rPr>
        <w:br/>
      </w:r>
    </w:p>
    <w:p w:rsidR="00213653" w:rsidRDefault="002917EA" w:rsidP="00D745C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BF0C0F">
        <w:rPr>
          <w:rFonts w:eastAsia="Times New Roman" w:cs="Courier New"/>
        </w:rPr>
        <w:t xml:space="preserve">B. M. Adams, W. J. </w:t>
      </w:r>
      <w:proofErr w:type="spellStart"/>
      <w:r w:rsidRPr="00BF0C0F">
        <w:rPr>
          <w:rFonts w:eastAsia="Times New Roman" w:cs="Courier New"/>
        </w:rPr>
        <w:t>Bohnhoff</w:t>
      </w:r>
      <w:proofErr w:type="spellEnd"/>
      <w:r w:rsidRPr="00BF0C0F">
        <w:rPr>
          <w:rFonts w:eastAsia="Times New Roman" w:cs="Courier New"/>
        </w:rPr>
        <w:t xml:space="preserve">, K. R. </w:t>
      </w:r>
      <w:proofErr w:type="spellStart"/>
      <w:r w:rsidRPr="00BF0C0F">
        <w:rPr>
          <w:rFonts w:eastAsia="Times New Roman" w:cs="Courier New"/>
        </w:rPr>
        <w:t>Dalbey</w:t>
      </w:r>
      <w:proofErr w:type="spellEnd"/>
      <w:r w:rsidRPr="00BF0C0F">
        <w:rPr>
          <w:rFonts w:eastAsia="Times New Roman" w:cs="Courier New"/>
        </w:rPr>
        <w:t xml:space="preserve">, J. P. Eddy, M. S. Eldred, P. D. Hough, S. </w:t>
      </w:r>
      <w:proofErr w:type="spellStart"/>
      <w:r w:rsidRPr="00BF0C0F">
        <w:rPr>
          <w:rFonts w:eastAsia="Times New Roman" w:cs="Courier New"/>
        </w:rPr>
        <w:t>Lefantzi</w:t>
      </w:r>
      <w:proofErr w:type="spellEnd"/>
      <w:r w:rsidRPr="00BF0C0F">
        <w:rPr>
          <w:rFonts w:eastAsia="Times New Roman" w:cs="Courier New"/>
        </w:rPr>
        <w:t xml:space="preserve">, L. P. </w:t>
      </w:r>
      <w:proofErr w:type="spellStart"/>
      <w:r w:rsidRPr="00BF0C0F">
        <w:rPr>
          <w:rFonts w:eastAsia="Times New Roman" w:cs="Courier New"/>
        </w:rPr>
        <w:t>Swiler</w:t>
      </w:r>
      <w:proofErr w:type="spellEnd"/>
      <w:r w:rsidRPr="00BF0C0F">
        <w:rPr>
          <w:rFonts w:eastAsia="Times New Roman" w:cs="Courier New"/>
        </w:rPr>
        <w:t>, and D. M. Vigil, DAKOTA: A Multilevel Parallel Object-Oriented Framework for Design Optimization, Parameter Estimation, Uncertainty Quantification, and Sensitivity Analysis. Version 5.2 User’s Manual, Sandia Technical Report SAND2010-2183, updated Nov. 2011.</w:t>
      </w:r>
      <w:r w:rsidR="00213653">
        <w:rPr>
          <w:rFonts w:eastAsia="Times New Roman" w:cs="Courier New"/>
        </w:rPr>
        <w:br/>
      </w:r>
    </w:p>
    <w:p w:rsidR="002917EA" w:rsidRPr="00BF0C0F" w:rsidRDefault="00213653" w:rsidP="00D745C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roofErr w:type="spellStart"/>
      <w:r>
        <w:t>Jorgensen</w:t>
      </w:r>
      <w:proofErr w:type="gramStart"/>
      <w:r>
        <w:t>,et</w:t>
      </w:r>
      <w:proofErr w:type="spellEnd"/>
      <w:proofErr w:type="gramEnd"/>
      <w:r>
        <w:t xml:space="preserve">. al. J. Chem. </w:t>
      </w:r>
      <w:proofErr w:type="spellStart"/>
      <w:r>
        <w:t>Phys</w:t>
      </w:r>
      <w:proofErr w:type="spellEnd"/>
      <w:r>
        <w:t xml:space="preserve"> 1983, 79, 925-935</w:t>
      </w:r>
      <w:r w:rsidR="002917EA">
        <w:rPr>
          <w:rFonts w:eastAsia="Times New Roman" w:cs="Courier New"/>
        </w:rPr>
        <w:br/>
      </w:r>
    </w:p>
    <w:p w:rsidR="006151F7" w:rsidRDefault="002917EA" w:rsidP="00D745C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BF0C0F">
        <w:rPr>
          <w:rFonts w:eastAsia="Times New Roman" w:cs="Courier New"/>
        </w:rPr>
        <w:t xml:space="preserve">B. </w:t>
      </w:r>
      <w:proofErr w:type="spellStart"/>
      <w:r w:rsidRPr="00BF0C0F">
        <w:rPr>
          <w:rFonts w:eastAsia="Times New Roman" w:cs="Courier New"/>
        </w:rPr>
        <w:t>Ludäscher</w:t>
      </w:r>
      <w:proofErr w:type="spellEnd"/>
      <w:r w:rsidRPr="00BF0C0F">
        <w:rPr>
          <w:rFonts w:eastAsia="Times New Roman" w:cs="Courier New"/>
        </w:rPr>
        <w:t xml:space="preserve">, I. </w:t>
      </w:r>
      <w:proofErr w:type="spellStart"/>
      <w:r w:rsidRPr="00BF0C0F">
        <w:rPr>
          <w:rFonts w:eastAsia="Times New Roman" w:cs="Courier New"/>
        </w:rPr>
        <w:t>Altintas</w:t>
      </w:r>
      <w:proofErr w:type="spellEnd"/>
      <w:r w:rsidRPr="00BF0C0F">
        <w:rPr>
          <w:rFonts w:eastAsia="Times New Roman" w:cs="Courier New"/>
        </w:rPr>
        <w:t xml:space="preserve">, C. Berkley, D. Higgins, E. Jaeger, M. Jones, E. A. Lee, J. Tao, and Y. Zhao. Scientific workflow management and the </w:t>
      </w:r>
      <w:proofErr w:type="spellStart"/>
      <w:r w:rsidRPr="00BF0C0F">
        <w:rPr>
          <w:rFonts w:eastAsia="Times New Roman" w:cs="Courier New"/>
        </w:rPr>
        <w:t>Kepler</w:t>
      </w:r>
      <w:proofErr w:type="spellEnd"/>
      <w:r w:rsidRPr="00BF0C0F">
        <w:rPr>
          <w:rFonts w:eastAsia="Times New Roman" w:cs="Courier New"/>
        </w:rPr>
        <w:t xml:space="preserve"> system. Concurrency and Computation: Practice &amp; Experience, pp. 1039–1065, 2006</w:t>
      </w:r>
      <w:r w:rsidR="006151F7">
        <w:rPr>
          <w:rFonts w:eastAsia="Times New Roman" w:cs="Courier New"/>
        </w:rPr>
        <w:br/>
      </w:r>
    </w:p>
    <w:p w:rsidR="002917EA" w:rsidRDefault="006151F7" w:rsidP="00D745C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48331F">
        <w:t xml:space="preserve">Case, D. A., T. E. Cheatham, 3rd, T. Darden, H. </w:t>
      </w:r>
      <w:proofErr w:type="spellStart"/>
      <w:r w:rsidRPr="0048331F">
        <w:t>Gohlke</w:t>
      </w:r>
      <w:proofErr w:type="spellEnd"/>
      <w:r w:rsidRPr="0048331F">
        <w:t xml:space="preserve">, R. </w:t>
      </w:r>
      <w:proofErr w:type="spellStart"/>
      <w:r w:rsidRPr="0048331F">
        <w:t>Luo</w:t>
      </w:r>
      <w:proofErr w:type="spellEnd"/>
      <w:r w:rsidRPr="0048331F">
        <w:t xml:space="preserve">, K. M. </w:t>
      </w:r>
      <w:proofErr w:type="spellStart"/>
      <w:r w:rsidRPr="0048331F">
        <w:t>Merz</w:t>
      </w:r>
      <w:proofErr w:type="spellEnd"/>
      <w:r w:rsidRPr="0048331F">
        <w:t xml:space="preserve">, Jr., A. </w:t>
      </w:r>
      <w:proofErr w:type="spellStart"/>
      <w:r w:rsidRPr="0048331F">
        <w:t>Onufriev</w:t>
      </w:r>
      <w:proofErr w:type="spellEnd"/>
      <w:r w:rsidRPr="0048331F">
        <w:t xml:space="preserve">, C. </w:t>
      </w:r>
      <w:proofErr w:type="spellStart"/>
      <w:r w:rsidRPr="0048331F">
        <w:t>Simmerling</w:t>
      </w:r>
      <w:proofErr w:type="spellEnd"/>
      <w:r w:rsidRPr="0048331F">
        <w:t xml:space="preserve">, B. Wang, and R. J. Woods, 2005, The Amber </w:t>
      </w:r>
      <w:proofErr w:type="spellStart"/>
      <w:r w:rsidRPr="0048331F">
        <w:t>biomolecular</w:t>
      </w:r>
      <w:proofErr w:type="spellEnd"/>
      <w:r w:rsidRPr="0048331F">
        <w:t xml:space="preserve"> simulation programs: J </w:t>
      </w:r>
      <w:proofErr w:type="spellStart"/>
      <w:r w:rsidRPr="0048331F">
        <w:t>Comput</w:t>
      </w:r>
      <w:proofErr w:type="spellEnd"/>
      <w:r w:rsidRPr="0048331F">
        <w:t xml:space="preserve"> </w:t>
      </w:r>
      <w:proofErr w:type="spellStart"/>
      <w:r w:rsidRPr="0048331F">
        <w:t>Chem</w:t>
      </w:r>
      <w:proofErr w:type="spellEnd"/>
      <w:r w:rsidRPr="0048331F">
        <w:t>, v. 26, p. 1668-88</w:t>
      </w:r>
      <w:r>
        <w:br/>
      </w:r>
    </w:p>
    <w:p w:rsidR="002917EA" w:rsidRPr="002917EA" w:rsidRDefault="006151F7" w:rsidP="00D745C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48331F">
        <w:t xml:space="preserve">Anderson, S. E., D. J. </w:t>
      </w:r>
      <w:proofErr w:type="spellStart"/>
      <w:r w:rsidRPr="0048331F">
        <w:t>Bodzin</w:t>
      </w:r>
      <w:proofErr w:type="spellEnd"/>
      <w:r w:rsidRPr="0048331F">
        <w:t xml:space="preserve">, T. S. Haddad, J. A. </w:t>
      </w:r>
      <w:proofErr w:type="spellStart"/>
      <w:r w:rsidRPr="0048331F">
        <w:t>Boatz</w:t>
      </w:r>
      <w:proofErr w:type="spellEnd"/>
      <w:r w:rsidRPr="0048331F">
        <w:t xml:space="preserve">, J. M. Mabry, C. Mitchell, and M. T. Bowers, 2008, Structural investigation of encapsulated fluoride in polyhedral </w:t>
      </w:r>
      <w:proofErr w:type="spellStart"/>
      <w:r w:rsidRPr="0048331F">
        <w:t>oligomeric</w:t>
      </w:r>
      <w:proofErr w:type="spellEnd"/>
      <w:r w:rsidRPr="0048331F">
        <w:t xml:space="preserve"> </w:t>
      </w:r>
      <w:proofErr w:type="spellStart"/>
      <w:r w:rsidRPr="0048331F">
        <w:t>silsesquioxane</w:t>
      </w:r>
      <w:proofErr w:type="spellEnd"/>
      <w:r w:rsidRPr="0048331F">
        <w:t xml:space="preserve"> cages using ion mobility mass spectrometry and molecular mechanics: Chemistry of Materials, v. 20, p. 4299-4309</w:t>
      </w:r>
      <w:r w:rsidR="002917EA">
        <w:rPr>
          <w:rFonts w:eastAsia="Times-Roman" w:cs="Times-Roman"/>
        </w:rPr>
        <w:br/>
      </w:r>
      <w:r w:rsidR="00223B4F" w:rsidRPr="002917EA">
        <w:rPr>
          <w:rFonts w:eastAsia="Times-Roman" w:cs="Times-Roman"/>
        </w:rPr>
        <w:t xml:space="preserve"> </w:t>
      </w:r>
    </w:p>
    <w:p w:rsidR="001301B7" w:rsidRPr="001301B7" w:rsidRDefault="006151F7" w:rsidP="00D745C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roofErr w:type="spellStart"/>
      <w:r w:rsidRPr="008B6BD6">
        <w:t>Nöllmann</w:t>
      </w:r>
      <w:proofErr w:type="spellEnd"/>
      <w:r w:rsidRPr="008B6BD6">
        <w:t xml:space="preserve">, M., and P. </w:t>
      </w:r>
      <w:proofErr w:type="spellStart"/>
      <w:r w:rsidRPr="008B6BD6">
        <w:t>Etchegoin</w:t>
      </w:r>
      <w:proofErr w:type="spellEnd"/>
      <w:r w:rsidRPr="008B6BD6">
        <w:t xml:space="preserve">, 2001, Origin of the lognormal shape in the boson-peak of globular proteins: </w:t>
      </w:r>
      <w:proofErr w:type="spellStart"/>
      <w:r w:rsidRPr="008B6BD6">
        <w:t>Physica</w:t>
      </w:r>
      <w:proofErr w:type="spellEnd"/>
      <w:r w:rsidRPr="008B6BD6">
        <w:t xml:space="preserve"> A: Statistical Mechanics and its Applications, v. 294, p. 44-50</w:t>
      </w:r>
      <w:r w:rsidR="001301B7">
        <w:br/>
      </w:r>
    </w:p>
    <w:p w:rsidR="009B0475" w:rsidRPr="006151F7" w:rsidRDefault="001301B7" w:rsidP="00D745C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fldChar w:fldCharType="begin">
          <w:fldData xml:space="preserve">PEVuZE5vdGU+PENpdGU+PEF1dGhvcj5Sb3NlbnF2aXN0PC9BdXRob3I+PFllYXI+MjAwNDwvWWVh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</w:fldData>
        </w:fldChar>
      </w:r>
      <w:r>
        <w:instrText xml:space="preserve"> ADDIN EN.CITE </w:instrText>
      </w:r>
      <w:r>
        <w:fldChar w:fldCharType="begin">
          <w:fldData xml:space="preserve">PEVuZE5vdGU+PENpdGU+PEF1dGhvcj5Sb3NlbnF2aXN0PC9BdXRob3I+PFllYXI+MjAwNDwvWWVh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</w:fldData>
        </w:fldChar>
      </w:r>
      <w:r>
        <w:instrText xml:space="preserve"> ADDIN EN.CITE.DATA </w:instrText>
      </w:r>
      <w:r>
        <w:fldChar w:fldCharType="end"/>
      </w:r>
      <w:r>
        <w:fldChar w:fldCharType="separate"/>
      </w:r>
      <w:r>
        <w:rPr>
          <w:noProof/>
        </w:rPr>
        <w:t>Rosenqvist and Ca</w:t>
      </w:r>
      <w:r w:rsidR="00755762" w:rsidRPr="00755762">
        <w:t xml:space="preserve"> </w:t>
      </w:r>
      <w:proofErr w:type="spellStart"/>
      <w:r w:rsidR="00755762" w:rsidRPr="00980304">
        <w:t>Rosenqvist</w:t>
      </w:r>
      <w:proofErr w:type="spellEnd"/>
      <w:r w:rsidR="00755762" w:rsidRPr="00980304">
        <w:t xml:space="preserve">, J., and W. H. Casey, 2004, The flux of oxygen from the basal surface of gibbsite (alpha-Al(OH)(3)) at equilibrium: </w:t>
      </w:r>
      <w:proofErr w:type="spellStart"/>
      <w:r w:rsidR="00755762" w:rsidRPr="00980304">
        <w:t>Geochimica</w:t>
      </w:r>
      <w:proofErr w:type="spellEnd"/>
      <w:r w:rsidR="00755762" w:rsidRPr="00980304">
        <w:t xml:space="preserve"> Et </w:t>
      </w:r>
      <w:proofErr w:type="spellStart"/>
      <w:r w:rsidR="00755762" w:rsidRPr="00980304">
        <w:t>Cosmochimica</w:t>
      </w:r>
      <w:proofErr w:type="spellEnd"/>
      <w:r w:rsidR="00755762" w:rsidRPr="00980304">
        <w:t xml:space="preserve"> </w:t>
      </w:r>
      <w:proofErr w:type="spellStart"/>
      <w:r w:rsidR="00755762" w:rsidRPr="00980304">
        <w:t>Acta</w:t>
      </w:r>
      <w:proofErr w:type="spellEnd"/>
      <w:r w:rsidR="00755762" w:rsidRPr="00980304">
        <w:t>, v. 68, p. 3547-3555</w:t>
      </w:r>
      <w:r>
        <w:fldChar w:fldCharType="end"/>
      </w:r>
      <w:r w:rsidR="00755762">
        <w:t xml:space="preserve">; </w:t>
      </w:r>
      <w:r w:rsidR="00755762" w:rsidRPr="00980304">
        <w:t>Villa, E., C. Ohlin, and W. Casey, 2010, ADDING REACTIVITY TO STRUCTURE 2: OXYGEN-ISOTOPE-EXCHANGE RATES IN THREE ISOSTRUCTURAL OXIDE IONS: American Journal of Science, v. 310, p. 629-644</w:t>
      </w:r>
      <w:r w:rsidR="00AF24B2" w:rsidRPr="00AF24B2">
        <w:rPr>
          <w:rFonts w:eastAsia="Times-Roman" w:cs="Times-Roman"/>
        </w:rPr>
        <w:br/>
      </w:r>
      <w:r w:rsidR="00A14F7F" w:rsidRPr="00AF24B2">
        <w:rPr>
          <w:rFonts w:eastAsia="Times-Roman" w:cs="Times-Roman"/>
        </w:rPr>
        <w:t xml:space="preserve"> </w:t>
      </w:r>
      <w:r w:rsidR="00AF24B2" w:rsidRPr="00AF24B2">
        <w:br/>
      </w:r>
    </w:p>
    <w:p w:rsidR="007214F3" w:rsidRDefault="007214F3" w:rsidP="00D745CF">
      <w:pPr>
        <w:spacing w:after="0" w:line="240" w:lineRule="auto"/>
      </w:pPr>
    </w:p>
    <w:sectPr w:rsidR="007214F3" w:rsidSect="00846582">
      <w:footerReference w:type="default" r:id="rId2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2409" w:rsidRDefault="00D32409" w:rsidP="00846582">
      <w:pPr>
        <w:spacing w:after="0" w:line="240" w:lineRule="auto"/>
      </w:pPr>
      <w:r>
        <w:separator/>
      </w:r>
    </w:p>
  </w:endnote>
  <w:endnote w:type="continuationSeparator" w:id="0">
    <w:p w:rsidR="00D32409" w:rsidRDefault="00D32409" w:rsidP="0084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OT2e364b11">
    <w:panose1 w:val="00000000000000000000"/>
    <w:charset w:val="00"/>
    <w:family w:val="roman"/>
    <w:notTrueType/>
    <w:pitch w:val="default"/>
    <w:sig w:usb0="00000003" w:usb1="00000000" w:usb2="00000000" w:usb3="00000000" w:csb0="00000001" w:csb1="00000000"/>
  </w:font>
  <w:font w:name="Ubuntu">
    <w:altName w:val="Segoe Script"/>
    <w:charset w:val="00"/>
    <w:family w:val="swiss"/>
    <w:pitch w:val="variable"/>
    <w:sig w:usb0="00000001" w:usb1="5000205B" w:usb2="00000000" w:usb3="00000000" w:csb0="0000009F" w:csb1="00000000"/>
  </w:font>
  <w:font w:name="Liberation Serif">
    <w:altName w:val="MS Mincho"/>
    <w:charset w:val="80"/>
    <w:family w:val="roman"/>
    <w:pitch w:val="variable"/>
  </w:font>
  <w:font w:name="Times-Roman">
    <w:altName w:val="Times"/>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12121"/>
      <w:docPartObj>
        <w:docPartGallery w:val="Page Numbers (Bottom of Page)"/>
        <w:docPartUnique/>
      </w:docPartObj>
    </w:sdtPr>
    <w:sdtEndPr/>
    <w:sdtContent>
      <w:p w:rsidR="00275F32" w:rsidRDefault="00D32409">
        <w:pPr>
          <w:pStyle w:val="Footer"/>
          <w:jc w:val="center"/>
        </w:pPr>
        <w:r>
          <w:fldChar w:fldCharType="begin"/>
        </w:r>
        <w:r>
          <w:instrText xml:space="preserve"> PAGE   \* MERGEFORMAT </w:instrText>
        </w:r>
        <w:r>
          <w:fldChar w:fldCharType="separate"/>
        </w:r>
        <w:r w:rsidR="00F52F5C">
          <w:rPr>
            <w:noProof/>
          </w:rPr>
          <w:t>1</w:t>
        </w:r>
        <w:r>
          <w:rPr>
            <w:noProof/>
          </w:rPr>
          <w:fldChar w:fldCharType="end"/>
        </w:r>
      </w:p>
    </w:sdtContent>
  </w:sdt>
  <w:p w:rsidR="00275F32" w:rsidRDefault="00275F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2409" w:rsidRDefault="00D32409" w:rsidP="00846582">
      <w:pPr>
        <w:spacing w:after="0" w:line="240" w:lineRule="auto"/>
      </w:pPr>
      <w:r>
        <w:separator/>
      </w:r>
    </w:p>
  </w:footnote>
  <w:footnote w:type="continuationSeparator" w:id="0">
    <w:p w:rsidR="00D32409" w:rsidRDefault="00D32409" w:rsidP="008465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44090"/>
    <w:multiLevelType w:val="hybridMultilevel"/>
    <w:tmpl w:val="35C4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831405"/>
    <w:multiLevelType w:val="hybridMultilevel"/>
    <w:tmpl w:val="6BD4FC52"/>
    <w:lvl w:ilvl="0" w:tplc="75C46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EA40EF"/>
    <w:multiLevelType w:val="hybridMultilevel"/>
    <w:tmpl w:val="E7926E2A"/>
    <w:lvl w:ilvl="0" w:tplc="3EE2C0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0DA0CDB"/>
    <w:multiLevelType w:val="hybridMultilevel"/>
    <w:tmpl w:val="ABB4B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2A7BC1"/>
    <w:multiLevelType w:val="multilevel"/>
    <w:tmpl w:val="EAA6732A"/>
    <w:lvl w:ilvl="0">
      <w:start w:val="1"/>
      <w:numFmt w:val="decimal"/>
      <w:lvlText w:val="%1"/>
      <w:lvlJc w:val="left"/>
      <w:pPr>
        <w:ind w:left="360" w:hanging="360"/>
      </w:pPr>
      <w:rPr>
        <w:rFonts w:hint="default"/>
        <w:b/>
        <w:sz w:val="24"/>
      </w:rPr>
    </w:lvl>
    <w:lvl w:ilvl="1">
      <w:start w:val="1"/>
      <w:numFmt w:val="decimal"/>
      <w:lvlText w:val="%1.%2"/>
      <w:lvlJc w:val="left"/>
      <w:pPr>
        <w:ind w:left="274" w:hanging="360"/>
      </w:pPr>
      <w:rPr>
        <w:rFonts w:hint="default"/>
        <w:b/>
        <w:sz w:val="24"/>
      </w:rPr>
    </w:lvl>
    <w:lvl w:ilvl="2">
      <w:start w:val="1"/>
      <w:numFmt w:val="decimal"/>
      <w:lvlText w:val="%1.%2.%3"/>
      <w:lvlJc w:val="left"/>
      <w:pPr>
        <w:ind w:left="548" w:hanging="720"/>
      </w:pPr>
      <w:rPr>
        <w:rFonts w:hint="default"/>
        <w:b/>
        <w:sz w:val="24"/>
      </w:rPr>
    </w:lvl>
    <w:lvl w:ilvl="3">
      <w:start w:val="1"/>
      <w:numFmt w:val="decimal"/>
      <w:lvlText w:val="%1.%2.%3.%4"/>
      <w:lvlJc w:val="left"/>
      <w:pPr>
        <w:ind w:left="462" w:hanging="720"/>
      </w:pPr>
      <w:rPr>
        <w:rFonts w:hint="default"/>
        <w:b/>
        <w:sz w:val="24"/>
      </w:rPr>
    </w:lvl>
    <w:lvl w:ilvl="4">
      <w:start w:val="1"/>
      <w:numFmt w:val="decimal"/>
      <w:lvlText w:val="%1.%2.%3.%4.%5"/>
      <w:lvlJc w:val="left"/>
      <w:pPr>
        <w:ind w:left="736" w:hanging="1080"/>
      </w:pPr>
      <w:rPr>
        <w:rFonts w:hint="default"/>
        <w:b/>
        <w:sz w:val="24"/>
      </w:rPr>
    </w:lvl>
    <w:lvl w:ilvl="5">
      <w:start w:val="1"/>
      <w:numFmt w:val="decimal"/>
      <w:lvlText w:val="%1.%2.%3.%4.%5.%6"/>
      <w:lvlJc w:val="left"/>
      <w:pPr>
        <w:ind w:left="650" w:hanging="1080"/>
      </w:pPr>
      <w:rPr>
        <w:rFonts w:hint="default"/>
        <w:b/>
        <w:sz w:val="24"/>
      </w:rPr>
    </w:lvl>
    <w:lvl w:ilvl="6">
      <w:start w:val="1"/>
      <w:numFmt w:val="decimal"/>
      <w:lvlText w:val="%1.%2.%3.%4.%5.%6.%7"/>
      <w:lvlJc w:val="left"/>
      <w:pPr>
        <w:ind w:left="924" w:hanging="1440"/>
      </w:pPr>
      <w:rPr>
        <w:rFonts w:hint="default"/>
        <w:b/>
        <w:sz w:val="24"/>
      </w:rPr>
    </w:lvl>
    <w:lvl w:ilvl="7">
      <w:start w:val="1"/>
      <w:numFmt w:val="decimal"/>
      <w:lvlText w:val="%1.%2.%3.%4.%5.%6.%7.%8"/>
      <w:lvlJc w:val="left"/>
      <w:pPr>
        <w:ind w:left="838" w:hanging="1440"/>
      </w:pPr>
      <w:rPr>
        <w:rFonts w:hint="default"/>
        <w:b/>
        <w:sz w:val="24"/>
      </w:rPr>
    </w:lvl>
    <w:lvl w:ilvl="8">
      <w:start w:val="1"/>
      <w:numFmt w:val="decimal"/>
      <w:lvlText w:val="%1.%2.%3.%4.%5.%6.%7.%8.%9"/>
      <w:lvlJc w:val="left"/>
      <w:pPr>
        <w:ind w:left="752" w:hanging="1440"/>
      </w:pPr>
      <w:rPr>
        <w:rFonts w:hint="default"/>
        <w:b/>
        <w:sz w:val="24"/>
      </w:rPr>
    </w:lvl>
  </w:abstractNum>
  <w:abstractNum w:abstractNumId="5">
    <w:nsid w:val="5F0A5A49"/>
    <w:multiLevelType w:val="hybridMultilevel"/>
    <w:tmpl w:val="F60E2A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46582"/>
    <w:rsid w:val="00014D75"/>
    <w:rsid w:val="00016ECD"/>
    <w:rsid w:val="00033333"/>
    <w:rsid w:val="000410E2"/>
    <w:rsid w:val="000429CA"/>
    <w:rsid w:val="00054557"/>
    <w:rsid w:val="000647DE"/>
    <w:rsid w:val="0007037A"/>
    <w:rsid w:val="00087D06"/>
    <w:rsid w:val="000A0C7D"/>
    <w:rsid w:val="000A3DA2"/>
    <w:rsid w:val="000D3BF3"/>
    <w:rsid w:val="000F2766"/>
    <w:rsid w:val="001011FF"/>
    <w:rsid w:val="00102D27"/>
    <w:rsid w:val="001301B7"/>
    <w:rsid w:val="00134BFA"/>
    <w:rsid w:val="00136176"/>
    <w:rsid w:val="001476A0"/>
    <w:rsid w:val="00151F0B"/>
    <w:rsid w:val="00154F18"/>
    <w:rsid w:val="00157E86"/>
    <w:rsid w:val="00164FFC"/>
    <w:rsid w:val="00176440"/>
    <w:rsid w:val="00180FA0"/>
    <w:rsid w:val="001811AC"/>
    <w:rsid w:val="00197965"/>
    <w:rsid w:val="001A65F4"/>
    <w:rsid w:val="001D6937"/>
    <w:rsid w:val="001F0376"/>
    <w:rsid w:val="00200F86"/>
    <w:rsid w:val="00213653"/>
    <w:rsid w:val="002223FD"/>
    <w:rsid w:val="0022296A"/>
    <w:rsid w:val="00223B4F"/>
    <w:rsid w:val="00225E95"/>
    <w:rsid w:val="0024151F"/>
    <w:rsid w:val="00242EBF"/>
    <w:rsid w:val="002562C1"/>
    <w:rsid w:val="00261FDC"/>
    <w:rsid w:val="00266511"/>
    <w:rsid w:val="00272CC1"/>
    <w:rsid w:val="00275F32"/>
    <w:rsid w:val="002800B2"/>
    <w:rsid w:val="00284F98"/>
    <w:rsid w:val="002917EA"/>
    <w:rsid w:val="00294F05"/>
    <w:rsid w:val="002A7CC1"/>
    <w:rsid w:val="002D2A7F"/>
    <w:rsid w:val="002E0DB7"/>
    <w:rsid w:val="002E1C8D"/>
    <w:rsid w:val="002E5200"/>
    <w:rsid w:val="002F408A"/>
    <w:rsid w:val="003205DB"/>
    <w:rsid w:val="00365B96"/>
    <w:rsid w:val="003679B1"/>
    <w:rsid w:val="00367F7A"/>
    <w:rsid w:val="00374439"/>
    <w:rsid w:val="00382A93"/>
    <w:rsid w:val="003A4DD6"/>
    <w:rsid w:val="003C5437"/>
    <w:rsid w:val="003D76ED"/>
    <w:rsid w:val="003D7D58"/>
    <w:rsid w:val="00416E2F"/>
    <w:rsid w:val="00440E6D"/>
    <w:rsid w:val="00441C1B"/>
    <w:rsid w:val="00464A90"/>
    <w:rsid w:val="00480667"/>
    <w:rsid w:val="004A4F8A"/>
    <w:rsid w:val="004B532E"/>
    <w:rsid w:val="004B5BA6"/>
    <w:rsid w:val="004C481A"/>
    <w:rsid w:val="004C73D1"/>
    <w:rsid w:val="004D1DC7"/>
    <w:rsid w:val="004D69AF"/>
    <w:rsid w:val="004F678D"/>
    <w:rsid w:val="00517C81"/>
    <w:rsid w:val="005236D2"/>
    <w:rsid w:val="00536EA3"/>
    <w:rsid w:val="005473E3"/>
    <w:rsid w:val="0055147D"/>
    <w:rsid w:val="00554473"/>
    <w:rsid w:val="00556726"/>
    <w:rsid w:val="005621A7"/>
    <w:rsid w:val="0056628F"/>
    <w:rsid w:val="005A77E1"/>
    <w:rsid w:val="005B0DBF"/>
    <w:rsid w:val="005C1F43"/>
    <w:rsid w:val="005D13F8"/>
    <w:rsid w:val="005D424E"/>
    <w:rsid w:val="005E22D2"/>
    <w:rsid w:val="005E7A02"/>
    <w:rsid w:val="005F036F"/>
    <w:rsid w:val="00601096"/>
    <w:rsid w:val="00614D3A"/>
    <w:rsid w:val="006151F7"/>
    <w:rsid w:val="00615260"/>
    <w:rsid w:val="00656FFA"/>
    <w:rsid w:val="00673564"/>
    <w:rsid w:val="006C5B98"/>
    <w:rsid w:val="006E7AAC"/>
    <w:rsid w:val="00702494"/>
    <w:rsid w:val="00717C45"/>
    <w:rsid w:val="007214F3"/>
    <w:rsid w:val="00755762"/>
    <w:rsid w:val="007610ED"/>
    <w:rsid w:val="007754FB"/>
    <w:rsid w:val="007A57BE"/>
    <w:rsid w:val="007B7DB9"/>
    <w:rsid w:val="007C4DF5"/>
    <w:rsid w:val="007C5777"/>
    <w:rsid w:val="007D6191"/>
    <w:rsid w:val="007F1917"/>
    <w:rsid w:val="007F76EF"/>
    <w:rsid w:val="007F7BE7"/>
    <w:rsid w:val="00815200"/>
    <w:rsid w:val="0082593F"/>
    <w:rsid w:val="00825B3F"/>
    <w:rsid w:val="00846582"/>
    <w:rsid w:val="00846F69"/>
    <w:rsid w:val="00870594"/>
    <w:rsid w:val="00872BE2"/>
    <w:rsid w:val="00875E86"/>
    <w:rsid w:val="00875F20"/>
    <w:rsid w:val="008867FA"/>
    <w:rsid w:val="008B0E23"/>
    <w:rsid w:val="008D4075"/>
    <w:rsid w:val="008D46B8"/>
    <w:rsid w:val="008F513D"/>
    <w:rsid w:val="0090695C"/>
    <w:rsid w:val="00911601"/>
    <w:rsid w:val="00912E6A"/>
    <w:rsid w:val="009135D2"/>
    <w:rsid w:val="00917908"/>
    <w:rsid w:val="00921457"/>
    <w:rsid w:val="009310F3"/>
    <w:rsid w:val="00936401"/>
    <w:rsid w:val="009578A5"/>
    <w:rsid w:val="009716BD"/>
    <w:rsid w:val="00981DB0"/>
    <w:rsid w:val="009928A6"/>
    <w:rsid w:val="009B0475"/>
    <w:rsid w:val="009C1B66"/>
    <w:rsid w:val="009D6515"/>
    <w:rsid w:val="009F2C6C"/>
    <w:rsid w:val="009F4AEC"/>
    <w:rsid w:val="00A07B14"/>
    <w:rsid w:val="00A14F7F"/>
    <w:rsid w:val="00A21EEA"/>
    <w:rsid w:val="00A45E6E"/>
    <w:rsid w:val="00A56008"/>
    <w:rsid w:val="00A575CA"/>
    <w:rsid w:val="00A63690"/>
    <w:rsid w:val="00A66018"/>
    <w:rsid w:val="00A71A93"/>
    <w:rsid w:val="00AB43AC"/>
    <w:rsid w:val="00AC51C3"/>
    <w:rsid w:val="00AC538C"/>
    <w:rsid w:val="00AC7EC5"/>
    <w:rsid w:val="00AD0FFF"/>
    <w:rsid w:val="00AD17E8"/>
    <w:rsid w:val="00AD468C"/>
    <w:rsid w:val="00AF24B2"/>
    <w:rsid w:val="00AF4401"/>
    <w:rsid w:val="00B100FD"/>
    <w:rsid w:val="00B31A98"/>
    <w:rsid w:val="00B33FAB"/>
    <w:rsid w:val="00B428FB"/>
    <w:rsid w:val="00B471C5"/>
    <w:rsid w:val="00B67D4F"/>
    <w:rsid w:val="00B772F9"/>
    <w:rsid w:val="00B7793E"/>
    <w:rsid w:val="00BA564E"/>
    <w:rsid w:val="00BA5D49"/>
    <w:rsid w:val="00BB0282"/>
    <w:rsid w:val="00BC1A1B"/>
    <w:rsid w:val="00BC573C"/>
    <w:rsid w:val="00BD295A"/>
    <w:rsid w:val="00BD5180"/>
    <w:rsid w:val="00BD6B41"/>
    <w:rsid w:val="00BE6991"/>
    <w:rsid w:val="00BE78DF"/>
    <w:rsid w:val="00BF0C0F"/>
    <w:rsid w:val="00BF2833"/>
    <w:rsid w:val="00C2584D"/>
    <w:rsid w:val="00C53DA7"/>
    <w:rsid w:val="00C6635F"/>
    <w:rsid w:val="00C677ED"/>
    <w:rsid w:val="00C73109"/>
    <w:rsid w:val="00C76116"/>
    <w:rsid w:val="00C775B5"/>
    <w:rsid w:val="00CA0DE2"/>
    <w:rsid w:val="00CA3903"/>
    <w:rsid w:val="00CD1A7C"/>
    <w:rsid w:val="00CD73F5"/>
    <w:rsid w:val="00CE54E8"/>
    <w:rsid w:val="00CF1097"/>
    <w:rsid w:val="00CF1DBE"/>
    <w:rsid w:val="00D32409"/>
    <w:rsid w:val="00D355F1"/>
    <w:rsid w:val="00D563F7"/>
    <w:rsid w:val="00D5683C"/>
    <w:rsid w:val="00D677E7"/>
    <w:rsid w:val="00D745CF"/>
    <w:rsid w:val="00D75D50"/>
    <w:rsid w:val="00D85800"/>
    <w:rsid w:val="00D91F28"/>
    <w:rsid w:val="00D94E98"/>
    <w:rsid w:val="00DA22C8"/>
    <w:rsid w:val="00DA6BA0"/>
    <w:rsid w:val="00DB196E"/>
    <w:rsid w:val="00DE1CF8"/>
    <w:rsid w:val="00DF1434"/>
    <w:rsid w:val="00E1307E"/>
    <w:rsid w:val="00E274A5"/>
    <w:rsid w:val="00E320D6"/>
    <w:rsid w:val="00E572AB"/>
    <w:rsid w:val="00E61059"/>
    <w:rsid w:val="00E63A08"/>
    <w:rsid w:val="00E763A8"/>
    <w:rsid w:val="00E83DB4"/>
    <w:rsid w:val="00E94EBE"/>
    <w:rsid w:val="00E94F31"/>
    <w:rsid w:val="00E975AF"/>
    <w:rsid w:val="00EA3FDE"/>
    <w:rsid w:val="00EA5527"/>
    <w:rsid w:val="00ED5B09"/>
    <w:rsid w:val="00EE36BE"/>
    <w:rsid w:val="00EF7C75"/>
    <w:rsid w:val="00F04A65"/>
    <w:rsid w:val="00F04BC5"/>
    <w:rsid w:val="00F07F38"/>
    <w:rsid w:val="00F32617"/>
    <w:rsid w:val="00F52F5C"/>
    <w:rsid w:val="00F566BE"/>
    <w:rsid w:val="00F66B63"/>
    <w:rsid w:val="00F74B6F"/>
    <w:rsid w:val="00F87B64"/>
    <w:rsid w:val="00F96203"/>
    <w:rsid w:val="00FB043A"/>
    <w:rsid w:val="00FB49BD"/>
    <w:rsid w:val="00FC44F1"/>
    <w:rsid w:val="00FE479E"/>
    <w:rsid w:val="00FE5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8FB"/>
  </w:style>
  <w:style w:type="paragraph" w:styleId="Heading1">
    <w:name w:val="heading 1"/>
    <w:basedOn w:val="Normal"/>
    <w:next w:val="Normal"/>
    <w:link w:val="Heading1Char"/>
    <w:uiPriority w:val="9"/>
    <w:qFormat/>
    <w:rsid w:val="002415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415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465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6582"/>
  </w:style>
  <w:style w:type="paragraph" w:styleId="Footer">
    <w:name w:val="footer"/>
    <w:basedOn w:val="Normal"/>
    <w:link w:val="FooterChar"/>
    <w:uiPriority w:val="99"/>
    <w:unhideWhenUsed/>
    <w:rsid w:val="00846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82"/>
  </w:style>
  <w:style w:type="paragraph" w:styleId="BalloonText">
    <w:name w:val="Balloon Text"/>
    <w:basedOn w:val="Normal"/>
    <w:link w:val="BalloonTextChar"/>
    <w:uiPriority w:val="99"/>
    <w:semiHidden/>
    <w:unhideWhenUsed/>
    <w:rsid w:val="00D91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F28"/>
    <w:rPr>
      <w:rFonts w:ascii="Tahoma" w:hAnsi="Tahoma" w:cs="Tahoma"/>
      <w:sz w:val="16"/>
      <w:szCs w:val="16"/>
    </w:rPr>
  </w:style>
  <w:style w:type="character" w:customStyle="1" w:styleId="Heading1Char">
    <w:name w:val="Heading 1 Char"/>
    <w:basedOn w:val="DefaultParagraphFont"/>
    <w:link w:val="Heading1"/>
    <w:uiPriority w:val="9"/>
    <w:rsid w:val="002415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4151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151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F0C0F"/>
    <w:pPr>
      <w:ind w:left="720"/>
      <w:contextualSpacing/>
    </w:pPr>
  </w:style>
  <w:style w:type="paragraph" w:customStyle="1" w:styleId="EndNoteBibliography">
    <w:name w:val="EndNote Bibliography"/>
    <w:basedOn w:val="Normal"/>
    <w:link w:val="EndNoteBibliographyChar"/>
    <w:rsid w:val="00BC573C"/>
    <w:pPr>
      <w:spacing w:line="240" w:lineRule="auto"/>
    </w:pPr>
    <w:rPr>
      <w:rFonts w:ascii="Calibri" w:eastAsiaTheme="minorHAnsi" w:hAnsi="Calibri"/>
      <w:noProof/>
    </w:rPr>
  </w:style>
  <w:style w:type="character" w:customStyle="1" w:styleId="EndNoteBibliographyChar">
    <w:name w:val="EndNote Bibliography Char"/>
    <w:basedOn w:val="DefaultParagraphFont"/>
    <w:link w:val="EndNoteBibliography"/>
    <w:rsid w:val="00BC573C"/>
    <w:rPr>
      <w:rFonts w:ascii="Calibri" w:eastAsiaTheme="minorHAnsi" w:hAnsi="Calibri"/>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15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415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465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6582"/>
  </w:style>
  <w:style w:type="paragraph" w:styleId="Footer">
    <w:name w:val="footer"/>
    <w:basedOn w:val="Normal"/>
    <w:link w:val="FooterChar"/>
    <w:uiPriority w:val="99"/>
    <w:unhideWhenUsed/>
    <w:rsid w:val="00846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82"/>
  </w:style>
  <w:style w:type="paragraph" w:styleId="BalloonText">
    <w:name w:val="Balloon Text"/>
    <w:basedOn w:val="Normal"/>
    <w:link w:val="BalloonTextChar"/>
    <w:uiPriority w:val="99"/>
    <w:semiHidden/>
    <w:unhideWhenUsed/>
    <w:rsid w:val="00D91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F28"/>
    <w:rPr>
      <w:rFonts w:ascii="Tahoma" w:hAnsi="Tahoma" w:cs="Tahoma"/>
      <w:sz w:val="16"/>
      <w:szCs w:val="16"/>
    </w:rPr>
  </w:style>
  <w:style w:type="character" w:customStyle="1" w:styleId="Heading1Char">
    <w:name w:val="Heading 1 Char"/>
    <w:basedOn w:val="DefaultParagraphFont"/>
    <w:link w:val="Heading1"/>
    <w:uiPriority w:val="9"/>
    <w:rsid w:val="002415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4151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151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F0C0F"/>
    <w:pPr>
      <w:ind w:left="720"/>
      <w:contextualSpacing/>
    </w:pPr>
  </w:style>
  <w:style w:type="paragraph" w:customStyle="1" w:styleId="EndNoteBibliography">
    <w:name w:val="EndNote Bibliography"/>
    <w:basedOn w:val="Normal"/>
    <w:link w:val="EndNoteBibliographyChar"/>
    <w:rsid w:val="00BC573C"/>
    <w:pPr>
      <w:spacing w:line="240" w:lineRule="auto"/>
    </w:pPr>
    <w:rPr>
      <w:rFonts w:ascii="Calibri" w:eastAsiaTheme="minorHAnsi" w:hAnsi="Calibri"/>
      <w:noProof/>
    </w:rPr>
  </w:style>
  <w:style w:type="character" w:customStyle="1" w:styleId="EndNoteBibliographyChar">
    <w:name w:val="EndNote Bibliography Char"/>
    <w:basedOn w:val="DefaultParagraphFont"/>
    <w:link w:val="EndNoteBibliography"/>
    <w:rsid w:val="00BC573C"/>
    <w:rPr>
      <w:rFonts w:ascii="Calibri" w:eastAsiaTheme="minorHAnsi" w:hAnsi="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46D1EF-060F-4E66-91C1-9DBC30ADC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11</Pages>
  <Words>3957</Words>
  <Characters>22558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26463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dc:creator>
  <cp:lastModifiedBy>Hagen, Mark E.</cp:lastModifiedBy>
  <cp:revision>44</cp:revision>
  <cp:lastPrinted>2013-07-26T17:05:00Z</cp:lastPrinted>
  <dcterms:created xsi:type="dcterms:W3CDTF">2013-07-24T15:20:00Z</dcterms:created>
  <dcterms:modified xsi:type="dcterms:W3CDTF">2013-07-26T17:35:00Z</dcterms:modified>
</cp:coreProperties>
</file>