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226B" w14:textId="77777777" w:rsidR="00163BC1" w:rsidRDefault="00DF53C3">
      <w:r>
        <w:t xml:space="preserve">Text for methods: </w:t>
      </w:r>
      <w:r w:rsidR="00163BC1">
        <w:t>Methods</w:t>
      </w:r>
    </w:p>
    <w:p w14:paraId="704018AB" w14:textId="77777777" w:rsidR="002A16BF" w:rsidRPr="002A16BF" w:rsidRDefault="002A16BF" w:rsidP="002A16BF">
      <w:pPr>
        <w:spacing w:line="360" w:lineRule="auto"/>
        <w:jc w:val="both"/>
        <w:rPr>
          <w:lang w:eastAsia="en-US"/>
        </w:rPr>
      </w:pPr>
      <w:r w:rsidRPr="002A16BF">
        <w:rPr>
          <w:lang w:eastAsia="en-US"/>
        </w:rPr>
        <w:t xml:space="preserve">We found spatial patterns on the residuals corresponding to </w:t>
      </w:r>
      <w:proofErr w:type="spellStart"/>
      <w:r>
        <w:rPr>
          <w:lang w:eastAsia="en-US"/>
        </w:rPr>
        <w:t>Lottia</w:t>
      </w:r>
      <w:proofErr w:type="spellEnd"/>
      <w:r w:rsidRPr="002A16BF">
        <w:rPr>
          <w:lang w:eastAsia="en-US"/>
        </w:rPr>
        <w:t xml:space="preserve"> </w:t>
      </w:r>
      <w:proofErr w:type="gramStart"/>
      <w:r w:rsidRPr="002A16BF">
        <w:rPr>
          <w:lang w:eastAsia="en-US"/>
        </w:rPr>
        <w:t xml:space="preserve">density </w:t>
      </w:r>
      <w:r>
        <w:rPr>
          <w:lang w:eastAsia="en-US"/>
        </w:rPr>
        <w:t xml:space="preserve"> and</w:t>
      </w:r>
      <w:proofErr w:type="gramEnd"/>
      <w:r>
        <w:rPr>
          <w:lang w:eastAsia="en-US"/>
        </w:rPr>
        <w:t xml:space="preserve"> XXX</w:t>
      </w:r>
      <w:r w:rsidRPr="002A16BF">
        <w:rPr>
          <w:lang w:eastAsia="en-US"/>
        </w:rPr>
        <w:t xml:space="preserve">. We therefore checked if the best model explaining variations in </w:t>
      </w:r>
      <w:r>
        <w:rPr>
          <w:lang w:eastAsia="en-US"/>
        </w:rPr>
        <w:t xml:space="preserve">those variables </w:t>
      </w:r>
      <w:r w:rsidRPr="002A16BF">
        <w:rPr>
          <w:lang w:eastAsia="en-US"/>
        </w:rPr>
        <w:t>was robust to spatial autocorrelation in the residuals</w:t>
      </w:r>
      <w:r>
        <w:rPr>
          <w:lang w:eastAsia="en-US"/>
        </w:rPr>
        <w:t xml:space="preserve"> using spatial models </w:t>
      </w:r>
      <w:r w:rsidRPr="002A16BF">
        <w:rPr>
          <w:lang w:eastAsia="en-US"/>
        </w:rPr>
        <w:t xml:space="preserve">spatial model </w:t>
      </w:r>
      <w:r>
        <w:rPr>
          <w:lang w:eastAsia="en-US"/>
        </w:rPr>
        <w:t xml:space="preserve">through </w:t>
      </w:r>
      <w:r w:rsidRPr="002A16BF">
        <w:rPr>
          <w:lang w:eastAsia="en-US"/>
        </w:rPr>
        <w:t>INLA</w:t>
      </w:r>
      <w:r>
        <w:rPr>
          <w:lang w:eastAsia="en-US"/>
        </w:rPr>
        <w:t>,</w:t>
      </w:r>
      <w:r w:rsidRPr="002A16BF">
        <w:rPr>
          <w:lang w:eastAsia="en-US"/>
        </w:rPr>
        <w:t xml:space="preserve"> following steps detailed in in </w:t>
      </w:r>
      <w:proofErr w:type="spellStart"/>
      <w:r w:rsidRPr="002A16BF">
        <w:rPr>
          <w:lang w:eastAsia="en-US"/>
        </w:rPr>
        <w:t>Zuur</w:t>
      </w:r>
      <w:proofErr w:type="spellEnd"/>
      <w:r w:rsidRPr="002A16BF">
        <w:rPr>
          <w:lang w:eastAsia="en-US"/>
        </w:rPr>
        <w:t xml:space="preserve"> et al. (2017, chap</w:t>
      </w:r>
      <w:r w:rsidR="00806806">
        <w:rPr>
          <w:lang w:eastAsia="en-US"/>
        </w:rPr>
        <w:t>s 10 and</w:t>
      </w:r>
      <w:r w:rsidRPr="002A16BF">
        <w:rPr>
          <w:lang w:eastAsia="en-US"/>
        </w:rPr>
        <w:t xml:space="preserve"> 12).  </w:t>
      </w:r>
      <w:r>
        <w:rPr>
          <w:lang w:eastAsia="en-US"/>
        </w:rPr>
        <w:t xml:space="preserve">Those models were based on data averaged by </w:t>
      </w:r>
      <w:r w:rsidRPr="002A16BF">
        <w:rPr>
          <w:lang w:eastAsia="en-US"/>
        </w:rPr>
        <w:t>location</w:t>
      </w:r>
      <w:r>
        <w:rPr>
          <w:lang w:eastAsia="en-US"/>
        </w:rPr>
        <w:t xml:space="preserve">, </w:t>
      </w:r>
      <w:r w:rsidRPr="002A16BF">
        <w:rPr>
          <w:lang w:eastAsia="en-US"/>
        </w:rPr>
        <w:t>Gaussian residuals and</w:t>
      </w:r>
      <w:r>
        <w:rPr>
          <w:lang w:eastAsia="en-US"/>
        </w:rPr>
        <w:t xml:space="preserve"> using a </w:t>
      </w:r>
      <w:r w:rsidRPr="002A16BF">
        <w:rPr>
          <w:lang w:eastAsia="en-US"/>
        </w:rPr>
        <w:t>Gaussian Markov random field</w:t>
      </w:r>
      <w:r>
        <w:rPr>
          <w:lang w:eastAsia="en-US"/>
        </w:rPr>
        <w:t xml:space="preserve"> (GMRF)</w:t>
      </w:r>
      <w:r w:rsidRPr="002A16BF">
        <w:rPr>
          <w:lang w:eastAsia="en-US"/>
        </w:rPr>
        <w:t xml:space="preserve"> based on the </w:t>
      </w:r>
      <w:proofErr w:type="spellStart"/>
      <w:r w:rsidRPr="002A16BF">
        <w:rPr>
          <w:lang w:eastAsia="en-US"/>
        </w:rPr>
        <w:t>Matérn</w:t>
      </w:r>
      <w:proofErr w:type="spellEnd"/>
      <w:r w:rsidRPr="002A16BF">
        <w:rPr>
          <w:lang w:eastAsia="en-US"/>
        </w:rPr>
        <w:t xml:space="preserve"> correlation</w:t>
      </w:r>
      <w:r>
        <w:rPr>
          <w:lang w:eastAsia="en-US"/>
        </w:rPr>
        <w:t xml:space="preserve"> to model the </w:t>
      </w:r>
      <w:r w:rsidRPr="002A16BF">
        <w:rPr>
          <w:lang w:eastAsia="en-US"/>
        </w:rPr>
        <w:t>spatial autocorrelation</w:t>
      </w:r>
      <w:r>
        <w:rPr>
          <w:lang w:eastAsia="en-US"/>
        </w:rPr>
        <w:t xml:space="preserve">, using the methods detailed in </w:t>
      </w:r>
      <w:proofErr w:type="spellStart"/>
      <w:r>
        <w:rPr>
          <w:lang w:eastAsia="en-US"/>
        </w:rPr>
        <w:t>Pardal</w:t>
      </w:r>
      <w:proofErr w:type="spellEnd"/>
      <w:r>
        <w:rPr>
          <w:lang w:eastAsia="en-US"/>
        </w:rPr>
        <w:t xml:space="preserve"> et al. (2021)</w:t>
      </w:r>
      <w:r w:rsidRPr="002A16BF">
        <w:rPr>
          <w:lang w:eastAsia="en-US"/>
        </w:rPr>
        <w:t xml:space="preserve">. </w:t>
      </w:r>
      <w:r>
        <w:rPr>
          <w:lang w:eastAsia="en-US"/>
        </w:rPr>
        <w:t>Briefly, t</w:t>
      </w:r>
      <w:r w:rsidRPr="002A16BF">
        <w:rPr>
          <w:lang w:eastAsia="en-US"/>
        </w:rPr>
        <w:t xml:space="preserve">he </w:t>
      </w:r>
      <w:r>
        <w:rPr>
          <w:lang w:eastAsia="en-US"/>
        </w:rPr>
        <w:t xml:space="preserve">GMRF </w:t>
      </w:r>
      <w:r w:rsidRPr="002A16BF">
        <w:rPr>
          <w:lang w:eastAsia="en-US"/>
        </w:rPr>
        <w:t xml:space="preserve">was constructed through a mesh (Fig SX1) </w:t>
      </w:r>
      <w:r>
        <w:rPr>
          <w:lang w:eastAsia="en-US"/>
        </w:rPr>
        <w:t xml:space="preserve">limited by the sea and the </w:t>
      </w:r>
      <w:r w:rsidRPr="002A16BF">
        <w:rPr>
          <w:lang w:eastAsia="en-US"/>
        </w:rPr>
        <w:t xml:space="preserve">coastline. </w:t>
      </w:r>
      <w:r>
        <w:rPr>
          <w:lang w:eastAsia="en-US"/>
        </w:rPr>
        <w:t xml:space="preserve">The mesh was </w:t>
      </w:r>
      <w:r w:rsidRPr="002A16BF">
        <w:rPr>
          <w:lang w:eastAsia="en-US"/>
        </w:rPr>
        <w:t>construct</w:t>
      </w:r>
      <w:r>
        <w:rPr>
          <w:lang w:eastAsia="en-US"/>
        </w:rPr>
        <w:t xml:space="preserve">ed </w:t>
      </w:r>
      <w:r w:rsidRPr="002A16BF">
        <w:rPr>
          <w:lang w:eastAsia="en-US"/>
        </w:rPr>
        <w:t xml:space="preserve">with triangles </w:t>
      </w:r>
      <w:r>
        <w:rPr>
          <w:lang w:eastAsia="en-US"/>
        </w:rPr>
        <w:t>(</w:t>
      </w:r>
      <w:r w:rsidRPr="002A16BF">
        <w:rPr>
          <w:lang w:eastAsia="en-US"/>
        </w:rPr>
        <w:t>maximum edge</w:t>
      </w:r>
      <w:r>
        <w:rPr>
          <w:lang w:eastAsia="en-US"/>
        </w:rPr>
        <w:t>:</w:t>
      </w:r>
      <w:r w:rsidRPr="002A16BF">
        <w:rPr>
          <w:lang w:eastAsia="en-US"/>
        </w:rPr>
        <w:t xml:space="preserve"> inner triangles = 4 km; outer triangles = 20 km</w:t>
      </w:r>
      <w:r>
        <w:rPr>
          <w:lang w:eastAsia="en-US"/>
        </w:rPr>
        <w:t xml:space="preserve">; </w:t>
      </w:r>
      <w:proofErr w:type="spellStart"/>
      <w:r w:rsidRPr="002A16BF">
        <w:rPr>
          <w:lang w:eastAsia="en-US"/>
        </w:rPr>
        <w:t>cutoff</w:t>
      </w:r>
      <w:proofErr w:type="spellEnd"/>
      <w:r w:rsidRPr="002A16BF">
        <w:rPr>
          <w:lang w:eastAsia="en-US"/>
        </w:rPr>
        <w:t xml:space="preserve"> sides =0.8 km). </w:t>
      </w:r>
      <w:r>
        <w:rPr>
          <w:lang w:eastAsia="en-US"/>
        </w:rPr>
        <w:t>We used semi-diffuse penalised complexity priors to specify the p</w:t>
      </w:r>
      <w:r w:rsidRPr="002A16BF">
        <w:rPr>
          <w:lang w:eastAsia="en-US"/>
        </w:rPr>
        <w:t xml:space="preserve">arameters of the </w:t>
      </w:r>
      <w:proofErr w:type="spellStart"/>
      <w:r w:rsidRPr="002A16BF">
        <w:rPr>
          <w:lang w:eastAsia="en-US"/>
        </w:rPr>
        <w:t>Matern</w:t>
      </w:r>
      <w:proofErr w:type="spellEnd"/>
      <w:r w:rsidRPr="002A16BF">
        <w:rPr>
          <w:lang w:eastAsia="en-US"/>
        </w:rPr>
        <w:t xml:space="preserve"> correlation. We run the models with two different </w:t>
      </w:r>
      <w:r>
        <w:rPr>
          <w:lang w:eastAsia="en-US"/>
        </w:rPr>
        <w:t>values of the maximum range (500 and 1000 km</w:t>
      </w:r>
      <w:r w:rsidR="00115A45">
        <w:rPr>
          <w:lang w:eastAsia="en-US"/>
        </w:rPr>
        <w:t xml:space="preserve">) </w:t>
      </w:r>
      <w:r>
        <w:rPr>
          <w:lang w:eastAsia="en-US"/>
        </w:rPr>
        <w:t xml:space="preserve">, </w:t>
      </w:r>
      <w:proofErr w:type="spellStart"/>
      <w:r w:rsidRPr="002A16BF">
        <w:rPr>
          <w:lang w:eastAsia="en-US"/>
        </w:rPr>
        <w:t>e.g</w:t>
      </w:r>
      <w:proofErr w:type="spellEnd"/>
      <w:r w:rsidRPr="002A16BF">
        <w:rPr>
          <w:lang w:eastAsia="en-US"/>
        </w:rPr>
        <w:t xml:space="preserve"> P(</w:t>
      </w:r>
      <w:proofErr w:type="spellStart"/>
      <w:r w:rsidRPr="002A16BF">
        <w:rPr>
          <w:lang w:eastAsia="en-US"/>
        </w:rPr>
        <w:t>MaxRange</w:t>
      </w:r>
      <w:proofErr w:type="spellEnd"/>
      <w:r w:rsidRPr="002A16BF">
        <w:rPr>
          <w:lang w:eastAsia="en-US"/>
        </w:rPr>
        <w:t xml:space="preserve"> &lt; 1000km = 0.95)</w:t>
      </w:r>
      <w:r>
        <w:rPr>
          <w:lang w:eastAsia="en-US"/>
        </w:rPr>
        <w:t xml:space="preserve"> and a value for the prior of the </w:t>
      </w:r>
      <w:r w:rsidRPr="002A16BF">
        <w:rPr>
          <w:lang w:eastAsia="en-US"/>
        </w:rPr>
        <w:t>marginal standard deviation (</w:t>
      </w:r>
      <w:proofErr w:type="spellStart"/>
      <w:r w:rsidRPr="002A16BF">
        <w:rPr>
          <w:lang w:eastAsia="en-US"/>
        </w:rPr>
        <w:t>σ</w:t>
      </w:r>
      <w:r w:rsidRPr="002A16BF">
        <w:rPr>
          <w:vertAlign w:val="subscript"/>
          <w:lang w:eastAsia="en-US"/>
        </w:rPr>
        <w:t>u</w:t>
      </w:r>
      <w:proofErr w:type="spellEnd"/>
      <w:r w:rsidRPr="002A16BF">
        <w:rPr>
          <w:lang w:eastAsia="en-US"/>
        </w:rPr>
        <w:t xml:space="preserve">) </w:t>
      </w:r>
      <w:r>
        <w:rPr>
          <w:lang w:eastAsia="en-US"/>
        </w:rPr>
        <w:t>depending on the response variable</w:t>
      </w:r>
      <w:r w:rsidRPr="002A16BF">
        <w:rPr>
          <w:lang w:eastAsia="en-US"/>
        </w:rPr>
        <w:t>, corresponding to the expected standard deviation based on the range of values of the data and assuming Gaussian distribution. We also explored the effect of changing priors for the range (</w:t>
      </w:r>
      <w:proofErr w:type="spellStart"/>
      <w:r w:rsidRPr="002A16BF">
        <w:rPr>
          <w:lang w:eastAsia="en-US"/>
        </w:rPr>
        <w:t>MaxRange</w:t>
      </w:r>
      <w:proofErr w:type="spellEnd"/>
      <w:r w:rsidRPr="002A16BF">
        <w:rPr>
          <w:lang w:eastAsia="en-US"/>
        </w:rPr>
        <w:t xml:space="preserve"> = </w:t>
      </w:r>
      <w:r>
        <w:rPr>
          <w:lang w:eastAsia="en-US"/>
        </w:rPr>
        <w:t>100</w:t>
      </w:r>
      <w:r w:rsidR="004443AB">
        <w:rPr>
          <w:lang w:eastAsia="en-US"/>
        </w:rPr>
        <w:t>)</w:t>
      </w:r>
      <w:r w:rsidRPr="002A16BF">
        <w:rPr>
          <w:lang w:eastAsia="en-US"/>
        </w:rPr>
        <w:t xml:space="preserve"> but such models had indication of overfitting, as shown by larger effective number of parameters and low</w:t>
      </w:r>
      <w:r w:rsidR="00806806">
        <w:rPr>
          <w:lang w:eastAsia="en-US"/>
        </w:rPr>
        <w:t>er</w:t>
      </w:r>
      <w:r w:rsidRPr="002A16BF">
        <w:rPr>
          <w:lang w:eastAsia="en-US"/>
        </w:rPr>
        <w:t xml:space="preserve"> number of equivalent replicates</w:t>
      </w:r>
      <w:r w:rsidR="00806806">
        <w:rPr>
          <w:lang w:eastAsia="en-US"/>
        </w:rPr>
        <w:t xml:space="preserve"> than the previous models</w:t>
      </w:r>
      <w:r w:rsidRPr="002A16BF">
        <w:rPr>
          <w:lang w:eastAsia="en-US"/>
        </w:rPr>
        <w:t xml:space="preserve">. All spatial models removed the spatial autocorrelation in the residuals (see Appendix SS) and </w:t>
      </w:r>
      <w:r w:rsidRPr="009C48D0">
        <w:rPr>
          <w:highlight w:val="green"/>
          <w:lang w:eastAsia="en-US"/>
        </w:rPr>
        <w:t>retained wave fetch</w:t>
      </w:r>
      <w:r w:rsidRPr="002A16BF">
        <w:rPr>
          <w:lang w:eastAsia="en-US"/>
        </w:rPr>
        <w:t xml:space="preserve"> as a predictor (see results) irrespective of the change in the priors for the range.</w:t>
      </w:r>
    </w:p>
    <w:p w14:paraId="65FF41FE" w14:textId="77777777" w:rsidR="00163BC1" w:rsidRDefault="00163BC1"/>
    <w:p w14:paraId="0C93A071" w14:textId="77777777" w:rsidR="00163BC1" w:rsidRDefault="00163BC1"/>
    <w:p w14:paraId="167EC97F" w14:textId="77777777" w:rsidR="00115A45" w:rsidRDefault="00115A45"/>
    <w:p w14:paraId="1904DAB1" w14:textId="77777777" w:rsidR="00115A45" w:rsidRDefault="00115A45"/>
    <w:p w14:paraId="6A466BB3" w14:textId="77777777" w:rsidR="00115A45" w:rsidRDefault="00115A45"/>
    <w:p w14:paraId="2A9EA319" w14:textId="77777777" w:rsidR="00115A45" w:rsidRDefault="00115A45"/>
    <w:p w14:paraId="22E3AD3B" w14:textId="77777777" w:rsidR="00115A45" w:rsidRDefault="00115A45"/>
    <w:p w14:paraId="13797E4A" w14:textId="77777777" w:rsidR="00115A45" w:rsidRDefault="00115A45"/>
    <w:p w14:paraId="36EE85CB" w14:textId="77777777" w:rsidR="00115A45" w:rsidRDefault="00115A45"/>
    <w:p w14:paraId="778F9D53" w14:textId="77777777" w:rsidR="00115A45" w:rsidRDefault="00115A45"/>
    <w:p w14:paraId="5B937E86" w14:textId="77777777" w:rsidR="00163BC1" w:rsidRDefault="00163BC1"/>
    <w:p w14:paraId="4469C0CF" w14:textId="77777777" w:rsidR="00833C1A" w:rsidRPr="00DE5AAE" w:rsidRDefault="00B61220">
      <w:pPr>
        <w:rPr>
          <w:i/>
        </w:rPr>
      </w:pPr>
      <w:r>
        <w:lastRenderedPageBreak/>
        <w:t xml:space="preserve">Results </w:t>
      </w:r>
      <w:proofErr w:type="spellStart"/>
      <w:r w:rsidRPr="00DE5AAE">
        <w:rPr>
          <w:i/>
        </w:rPr>
        <w:t>Lottia</w:t>
      </w:r>
      <w:proofErr w:type="spellEnd"/>
    </w:p>
    <w:p w14:paraId="28168EC8" w14:textId="77777777" w:rsidR="00B61220" w:rsidRDefault="00B61220"/>
    <w:p w14:paraId="0470505F" w14:textId="77777777" w:rsidR="00163BC1" w:rsidRDefault="00163BC1" w:rsidP="00163BC1">
      <w:r>
        <w:t xml:space="preserve">Text </w:t>
      </w:r>
    </w:p>
    <w:p w14:paraId="63C80B73" w14:textId="77777777" w:rsidR="00163BC1" w:rsidRDefault="00163BC1" w:rsidP="00163BC1">
      <w:pPr>
        <w:spacing w:line="360" w:lineRule="auto"/>
      </w:pPr>
      <w:r>
        <w:t xml:space="preserve">For </w:t>
      </w:r>
      <w:proofErr w:type="spellStart"/>
      <w:r>
        <w:t>Lottia</w:t>
      </w:r>
      <w:proofErr w:type="spellEnd"/>
      <w:r>
        <w:t xml:space="preserve"> densities, model selection gave a delta DIC &lt; 1 for models with and without Tetra and hence the model retained did not include tetra. Best models retained Chlorophyll-a and Wave fetch as predictors with density increasing towards areas with lower chlorophyll-a and higher wave fetch. </w:t>
      </w:r>
    </w:p>
    <w:p w14:paraId="0C6C2ACC" w14:textId="77777777" w:rsidR="00B61220" w:rsidRPr="00B61220" w:rsidRDefault="00B61220" w:rsidP="00B61220">
      <w:pPr>
        <w:spacing w:line="360" w:lineRule="auto"/>
        <w:jc w:val="both"/>
        <w:rPr>
          <w:lang w:eastAsia="en-US"/>
        </w:rPr>
      </w:pPr>
      <w:r w:rsidRPr="00B61220">
        <w:rPr>
          <w:lang w:eastAsia="en-US"/>
        </w:rPr>
        <w:t>Table S</w:t>
      </w:r>
      <w:r w:rsidR="00CB14DA">
        <w:rPr>
          <w:lang w:eastAsia="en-US"/>
        </w:rPr>
        <w:t>X</w:t>
      </w:r>
      <w:r w:rsidR="00163BC1">
        <w:rPr>
          <w:lang w:eastAsia="en-US"/>
        </w:rPr>
        <w:t>-</w:t>
      </w:r>
      <w:proofErr w:type="spellStart"/>
      <w:r w:rsidR="00163BC1">
        <w:rPr>
          <w:lang w:eastAsia="en-US"/>
        </w:rPr>
        <w:t>Lottia</w:t>
      </w:r>
      <w:proofErr w:type="spellEnd"/>
      <w:r w:rsidR="00CB14DA">
        <w:rPr>
          <w:lang w:eastAsia="en-US"/>
        </w:rPr>
        <w:t xml:space="preserve"> density</w:t>
      </w:r>
      <w:r w:rsidRPr="00B61220">
        <w:rPr>
          <w:lang w:eastAsia="en-US"/>
        </w:rPr>
        <w:t xml:space="preserve">. Summary statistics for models to the location averaged </w:t>
      </w:r>
      <w:proofErr w:type="spellStart"/>
      <w:r w:rsidR="000706E1" w:rsidRPr="00163BC1">
        <w:rPr>
          <w:i/>
          <w:lang w:eastAsia="en-US"/>
        </w:rPr>
        <w:t>Lottia</w:t>
      </w:r>
      <w:proofErr w:type="spellEnd"/>
      <w:r w:rsidR="000706E1">
        <w:rPr>
          <w:lang w:eastAsia="en-US"/>
        </w:rPr>
        <w:t xml:space="preserve"> </w:t>
      </w:r>
      <w:r w:rsidRPr="00B61220">
        <w:rPr>
          <w:lang w:eastAsia="en-US"/>
        </w:rPr>
        <w:t xml:space="preserve">densities fitted through INLA with </w:t>
      </w:r>
      <w:r w:rsidR="000706E1">
        <w:rPr>
          <w:lang w:eastAsia="en-US"/>
        </w:rPr>
        <w:t xml:space="preserve">chlorophyll and </w:t>
      </w:r>
      <w:r w:rsidRPr="00B61220">
        <w:rPr>
          <w:lang w:eastAsia="en-US"/>
        </w:rPr>
        <w:t xml:space="preserve">wave fetch as predictor. Spatial models differed in the prior for the range of the </w:t>
      </w:r>
      <w:proofErr w:type="spellStart"/>
      <w:r w:rsidRPr="00B61220">
        <w:rPr>
          <w:lang w:eastAsia="en-US"/>
        </w:rPr>
        <w:t>Matern</w:t>
      </w:r>
      <w:proofErr w:type="spellEnd"/>
      <w:r w:rsidRPr="00B61220">
        <w:rPr>
          <w:lang w:eastAsia="en-US"/>
        </w:rPr>
        <w:t xml:space="preserve"> spatial correlation function (i.e. the distance at which spatial autocorrelation becomes minimal, either </w:t>
      </w:r>
      <w:r>
        <w:rPr>
          <w:lang w:eastAsia="en-US"/>
        </w:rPr>
        <w:t xml:space="preserve">500 </w:t>
      </w:r>
      <w:r w:rsidRPr="00B61220">
        <w:rPr>
          <w:lang w:eastAsia="en-US"/>
        </w:rPr>
        <w:t xml:space="preserve">or </w:t>
      </w:r>
      <w:r>
        <w:rPr>
          <w:lang w:eastAsia="en-US"/>
        </w:rPr>
        <w:t>1</w:t>
      </w:r>
      <w:r w:rsidRPr="00B61220">
        <w:rPr>
          <w:lang w:eastAsia="en-US"/>
        </w:rPr>
        <w:t>00</w:t>
      </w:r>
      <w:r w:rsidR="000706E1">
        <w:rPr>
          <w:lang w:eastAsia="en-US"/>
        </w:rPr>
        <w:t>0 km</w:t>
      </w:r>
      <w:r w:rsidRPr="00B61220">
        <w:rPr>
          <w:lang w:eastAsia="en-US"/>
        </w:rPr>
        <w:t xml:space="preserve">). </w:t>
      </w:r>
      <w:r w:rsidR="00163BC1">
        <w:rPr>
          <w:lang w:eastAsia="en-US"/>
        </w:rPr>
        <w:t>T</w:t>
      </w:r>
      <w:r w:rsidRPr="00B61220">
        <w:rPr>
          <w:lang w:eastAsia="en-US"/>
        </w:rPr>
        <w:t xml:space="preserve">he parameter estimates comprise the posteriors the range, </w:t>
      </w:r>
      <w:proofErr w:type="spellStart"/>
      <w:r w:rsidRPr="00B61220">
        <w:rPr>
          <w:lang w:eastAsia="en-US"/>
        </w:rPr>
        <w:t>σ</w:t>
      </w:r>
      <w:proofErr w:type="gramStart"/>
      <w:r w:rsidRPr="00B61220">
        <w:rPr>
          <w:vertAlign w:val="subscript"/>
          <w:lang w:eastAsia="en-US"/>
        </w:rPr>
        <w:t>u</w:t>
      </w:r>
      <w:proofErr w:type="spellEnd"/>
      <w:r w:rsidRPr="00B61220">
        <w:rPr>
          <w:lang w:eastAsia="en-US"/>
        </w:rPr>
        <w:t xml:space="preserve"> ,</w:t>
      </w:r>
      <w:proofErr w:type="gramEnd"/>
      <w:r w:rsidRPr="00B61220">
        <w:rPr>
          <w:lang w:eastAsia="en-US"/>
        </w:rPr>
        <w:t xml:space="preserve"> and the effect of</w:t>
      </w:r>
      <w:r w:rsidR="00DE5AAE">
        <w:rPr>
          <w:lang w:eastAsia="en-US"/>
        </w:rPr>
        <w:t xml:space="preserve"> chlorophyll and </w:t>
      </w:r>
      <w:r w:rsidRPr="00B61220">
        <w:rPr>
          <w:lang w:eastAsia="en-US"/>
        </w:rPr>
        <w:t xml:space="preserve"> wave fetch (parameter estimate</w:t>
      </w:r>
      <w:r w:rsidR="00163BC1">
        <w:rPr>
          <w:lang w:eastAsia="en-US"/>
        </w:rPr>
        <w:t>=</w:t>
      </w:r>
      <w:r w:rsidR="00163BC1" w:rsidRPr="00163BC1">
        <w:rPr>
          <w:rFonts w:cstheme="minorHAnsi"/>
        </w:rPr>
        <w:t xml:space="preserve"> </w:t>
      </w:r>
      <w:r w:rsidR="00163BC1">
        <w:rPr>
          <w:rFonts w:cstheme="minorHAnsi"/>
        </w:rPr>
        <w:t>β,</w:t>
      </w:r>
      <w:r w:rsidRPr="00B61220">
        <w:rPr>
          <w:lang w:eastAsia="en-US"/>
        </w:rPr>
        <w:t xml:space="preserve">  credible interval 95% = CI)</w:t>
      </w:r>
    </w:p>
    <w:tbl>
      <w:tblPr>
        <w:tblStyle w:val="TableGrid1"/>
        <w:tblW w:w="9489" w:type="dxa"/>
        <w:jc w:val="center"/>
        <w:tblLook w:val="04A0" w:firstRow="1" w:lastRow="0" w:firstColumn="1" w:lastColumn="0" w:noHBand="0" w:noVBand="1"/>
      </w:tblPr>
      <w:tblGrid>
        <w:gridCol w:w="1370"/>
        <w:gridCol w:w="682"/>
        <w:gridCol w:w="779"/>
        <w:gridCol w:w="850"/>
        <w:gridCol w:w="1278"/>
        <w:gridCol w:w="731"/>
        <w:gridCol w:w="1381"/>
        <w:gridCol w:w="1021"/>
        <w:gridCol w:w="1397"/>
      </w:tblGrid>
      <w:tr w:rsidR="00163BC1" w:rsidRPr="00B61220" w14:paraId="204A919C" w14:textId="77777777" w:rsidTr="00163BC1">
        <w:trPr>
          <w:jc w:val="center"/>
        </w:trPr>
        <w:tc>
          <w:tcPr>
            <w:tcW w:w="1370" w:type="dxa"/>
          </w:tcPr>
          <w:p w14:paraId="2CB29CCB" w14:textId="77777777" w:rsidR="00DE5AAE" w:rsidRPr="00163BC1" w:rsidRDefault="00DE5AAE" w:rsidP="00B6122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2" w:type="dxa"/>
          </w:tcPr>
          <w:p w14:paraId="5B35D290" w14:textId="77777777" w:rsidR="00DE5AAE" w:rsidRPr="00163BC1" w:rsidRDefault="00DE5AAE" w:rsidP="00B6122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ADBCEB5" w14:textId="77777777" w:rsidR="00DE5AAE" w:rsidRPr="00163BC1" w:rsidRDefault="00DE5AAE" w:rsidP="00B6122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gridSpan w:val="2"/>
          </w:tcPr>
          <w:p w14:paraId="1D95BAEA" w14:textId="77777777" w:rsidR="00DE5AAE" w:rsidRPr="00163BC1" w:rsidRDefault="00DE5AAE" w:rsidP="00B6122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2112" w:type="dxa"/>
            <w:gridSpan w:val="2"/>
          </w:tcPr>
          <w:p w14:paraId="14306F96" w14:textId="77777777" w:rsidR="00DE5AAE" w:rsidRPr="00163BC1" w:rsidRDefault="00DE5AAE" w:rsidP="00B6122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3BC1">
              <w:rPr>
                <w:rFonts w:ascii="Times New Roman" w:hAnsi="Times New Roman" w:cs="Times New Roman"/>
              </w:rPr>
              <w:t>Chlo</w:t>
            </w:r>
            <w:proofErr w:type="spellEnd"/>
            <w:r w:rsidRPr="00163BC1">
              <w:rPr>
                <w:rFonts w:ascii="Times New Roman" w:hAnsi="Times New Roman" w:cs="Times New Roman"/>
              </w:rPr>
              <w:t>-a</w:t>
            </w:r>
          </w:p>
        </w:tc>
        <w:tc>
          <w:tcPr>
            <w:tcW w:w="2418" w:type="dxa"/>
            <w:gridSpan w:val="2"/>
          </w:tcPr>
          <w:p w14:paraId="21359966" w14:textId="77777777" w:rsidR="00DE5AAE" w:rsidRPr="00163BC1" w:rsidRDefault="00DE5AAE" w:rsidP="00B6122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eastAsia="Calibri" w:hAnsi="Times New Roman" w:cs="Times New Roman"/>
              </w:rPr>
              <w:t>Wave fetch</w:t>
            </w:r>
          </w:p>
        </w:tc>
      </w:tr>
      <w:tr w:rsidR="00163BC1" w:rsidRPr="00B61220" w14:paraId="2B506CA0" w14:textId="77777777" w:rsidTr="00163BC1">
        <w:trPr>
          <w:jc w:val="center"/>
        </w:trPr>
        <w:tc>
          <w:tcPr>
            <w:tcW w:w="1370" w:type="dxa"/>
          </w:tcPr>
          <w:p w14:paraId="67C0BFF2" w14:textId="77777777" w:rsidR="00DE5AAE" w:rsidRPr="00B61220" w:rsidRDefault="00DE5AAE" w:rsidP="00DE5AA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61220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682" w:type="dxa"/>
          </w:tcPr>
          <w:p w14:paraId="6890A28B" w14:textId="77777777" w:rsidR="00DE5AAE" w:rsidRPr="00B61220" w:rsidRDefault="00DE5AAE" w:rsidP="00DE5AA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1220">
              <w:rPr>
                <w:rFonts w:ascii="Times New Roman" w:hAnsi="Times New Roman" w:cs="Times New Roman"/>
              </w:rPr>
              <w:t>σ</w:t>
            </w:r>
            <w:r w:rsidRPr="00B61220">
              <w:rPr>
                <w:rFonts w:ascii="Times New Roman" w:hAnsi="Times New Roman" w:cs="Times New Roman"/>
                <w:vertAlign w:val="subscript"/>
              </w:rPr>
              <w:t>u</w:t>
            </w:r>
            <w:proofErr w:type="spellEnd"/>
          </w:p>
        </w:tc>
        <w:tc>
          <w:tcPr>
            <w:tcW w:w="779" w:type="dxa"/>
          </w:tcPr>
          <w:p w14:paraId="0FB8A376" w14:textId="77777777" w:rsidR="00DE5AAE" w:rsidRPr="00B61220" w:rsidRDefault="00DE5AAE" w:rsidP="00DE5AA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61220">
              <w:rPr>
                <w:rFonts w:ascii="Times New Roman" w:hAnsi="Times New Roman" w:cs="Times New Roman"/>
              </w:rPr>
              <w:t xml:space="preserve">Range </w:t>
            </w:r>
          </w:p>
        </w:tc>
        <w:tc>
          <w:tcPr>
            <w:tcW w:w="850" w:type="dxa"/>
          </w:tcPr>
          <w:p w14:paraId="3963AE19" w14:textId="77777777" w:rsidR="00DE5AAE" w:rsidRPr="00B61220" w:rsidRDefault="00163BC1" w:rsidP="00DE5AA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78" w:type="dxa"/>
          </w:tcPr>
          <w:p w14:paraId="401AD2D1" w14:textId="77777777" w:rsidR="00DE5AAE" w:rsidRPr="00B61220" w:rsidRDefault="00DE5AAE" w:rsidP="00DE5AA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61220">
              <w:rPr>
                <w:rFonts w:ascii="Times New Roman" w:hAnsi="Times New Roman" w:cs="Times New Roman"/>
              </w:rPr>
              <w:t>CI 95%</w:t>
            </w:r>
          </w:p>
        </w:tc>
        <w:tc>
          <w:tcPr>
            <w:tcW w:w="731" w:type="dxa"/>
          </w:tcPr>
          <w:p w14:paraId="60167EAE" w14:textId="77777777" w:rsidR="00DE5AAE" w:rsidRPr="00B61220" w:rsidRDefault="00163BC1" w:rsidP="00DE5AA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381" w:type="dxa"/>
          </w:tcPr>
          <w:p w14:paraId="5A06C27C" w14:textId="77777777" w:rsidR="00DE5AAE" w:rsidRPr="00B61220" w:rsidRDefault="00DE5AAE" w:rsidP="00DE5AA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61220">
              <w:rPr>
                <w:rFonts w:ascii="Times New Roman" w:hAnsi="Times New Roman" w:cs="Times New Roman"/>
              </w:rPr>
              <w:t>CI 95%</w:t>
            </w:r>
          </w:p>
        </w:tc>
        <w:tc>
          <w:tcPr>
            <w:tcW w:w="1021" w:type="dxa"/>
          </w:tcPr>
          <w:p w14:paraId="505FF0C1" w14:textId="77777777" w:rsidR="00DE5AAE" w:rsidRPr="00B61220" w:rsidRDefault="00163BC1" w:rsidP="00DE5AA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397" w:type="dxa"/>
          </w:tcPr>
          <w:p w14:paraId="0BA3F090" w14:textId="77777777" w:rsidR="00DE5AAE" w:rsidRPr="00B61220" w:rsidRDefault="00DE5AAE" w:rsidP="00DE5AA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61220">
              <w:rPr>
                <w:rFonts w:ascii="Times New Roman" w:hAnsi="Times New Roman" w:cs="Times New Roman"/>
              </w:rPr>
              <w:t>CI 95%</w:t>
            </w:r>
          </w:p>
        </w:tc>
      </w:tr>
      <w:tr w:rsidR="00163BC1" w:rsidRPr="00B61220" w14:paraId="37665CD9" w14:textId="77777777" w:rsidTr="00163BC1">
        <w:trPr>
          <w:jc w:val="center"/>
        </w:trPr>
        <w:tc>
          <w:tcPr>
            <w:tcW w:w="1370" w:type="dxa"/>
          </w:tcPr>
          <w:p w14:paraId="47640553" w14:textId="77777777" w:rsidR="00DE5AAE" w:rsidRPr="00B61220" w:rsidRDefault="00DE5AAE" w:rsidP="00B61220">
            <w:pPr>
              <w:rPr>
                <w:rFonts w:ascii="Times New Roman" w:hAnsi="Times New Roman" w:cs="Times New Roman"/>
              </w:rPr>
            </w:pPr>
            <w:r w:rsidRPr="00B61220">
              <w:rPr>
                <w:rFonts w:ascii="Times New Roman" w:hAnsi="Times New Roman" w:cs="Times New Roman"/>
              </w:rPr>
              <w:t>Spatial 1000</w:t>
            </w:r>
          </w:p>
        </w:tc>
        <w:tc>
          <w:tcPr>
            <w:tcW w:w="682" w:type="dxa"/>
          </w:tcPr>
          <w:p w14:paraId="632D1AC4" w14:textId="77777777" w:rsidR="00DE5AAE" w:rsidRPr="00B61220" w:rsidRDefault="00163BC1" w:rsidP="00B61220">
            <w:pPr>
              <w:tabs>
                <w:tab w:val="left" w:pos="222"/>
              </w:tabs>
              <w:ind w:right="-5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779" w:type="dxa"/>
          </w:tcPr>
          <w:p w14:paraId="5468B455" w14:textId="77777777" w:rsidR="00DE5AAE" w:rsidRPr="00B61220" w:rsidRDefault="00163BC1" w:rsidP="00B6122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108.8</w:t>
            </w:r>
          </w:p>
        </w:tc>
        <w:tc>
          <w:tcPr>
            <w:tcW w:w="850" w:type="dxa"/>
          </w:tcPr>
          <w:p w14:paraId="4FDB06A2" w14:textId="77777777" w:rsidR="00DE5AAE" w:rsidRPr="00163BC1" w:rsidRDefault="00163BC1" w:rsidP="00B61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278" w:type="dxa"/>
          </w:tcPr>
          <w:p w14:paraId="209A41F4" w14:textId="77777777" w:rsidR="00DE5AAE" w:rsidRPr="00163BC1" w:rsidRDefault="00163BC1" w:rsidP="00B61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-0.86, 5.79</w:t>
            </w:r>
          </w:p>
        </w:tc>
        <w:tc>
          <w:tcPr>
            <w:tcW w:w="731" w:type="dxa"/>
          </w:tcPr>
          <w:p w14:paraId="58E103F5" w14:textId="77777777" w:rsidR="00DE5AAE" w:rsidRPr="00B61220" w:rsidRDefault="00DE5AAE" w:rsidP="00B61220">
            <w:pPr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-0.55</w:t>
            </w:r>
          </w:p>
        </w:tc>
        <w:tc>
          <w:tcPr>
            <w:tcW w:w="1381" w:type="dxa"/>
          </w:tcPr>
          <w:p w14:paraId="4B61B16F" w14:textId="77777777" w:rsidR="00DE5AAE" w:rsidRPr="00B61220" w:rsidRDefault="00DE5AAE" w:rsidP="00B61220">
            <w:pPr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-0.86, -0.25</w:t>
            </w:r>
          </w:p>
        </w:tc>
        <w:tc>
          <w:tcPr>
            <w:tcW w:w="1021" w:type="dxa"/>
          </w:tcPr>
          <w:p w14:paraId="7DE0CA95" w14:textId="77777777" w:rsidR="00DE5AAE" w:rsidRPr="00163BC1" w:rsidRDefault="00DE5AAE" w:rsidP="00B61220">
            <w:pPr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5.68</w:t>
            </w:r>
          </w:p>
        </w:tc>
        <w:tc>
          <w:tcPr>
            <w:tcW w:w="1397" w:type="dxa"/>
          </w:tcPr>
          <w:p w14:paraId="33C8BF79" w14:textId="77777777" w:rsidR="00DE5AAE" w:rsidRPr="00163BC1" w:rsidRDefault="00DE5AAE" w:rsidP="000706E1">
            <w:pPr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0.16, 11.20</w:t>
            </w:r>
          </w:p>
        </w:tc>
      </w:tr>
      <w:tr w:rsidR="00163BC1" w:rsidRPr="00B61220" w14:paraId="2D1BABBA" w14:textId="77777777" w:rsidTr="00163BC1">
        <w:trPr>
          <w:jc w:val="center"/>
        </w:trPr>
        <w:tc>
          <w:tcPr>
            <w:tcW w:w="1370" w:type="dxa"/>
          </w:tcPr>
          <w:p w14:paraId="6D04CD24" w14:textId="77777777" w:rsidR="00DE5AAE" w:rsidRPr="00163BC1" w:rsidRDefault="00DE5AAE" w:rsidP="00B61220">
            <w:pPr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Spatial 500</w:t>
            </w:r>
          </w:p>
        </w:tc>
        <w:tc>
          <w:tcPr>
            <w:tcW w:w="682" w:type="dxa"/>
          </w:tcPr>
          <w:p w14:paraId="6C3ED5E3" w14:textId="77777777" w:rsidR="00DE5AAE" w:rsidRPr="00163BC1" w:rsidRDefault="00DE5AAE" w:rsidP="00B61220">
            <w:pPr>
              <w:tabs>
                <w:tab w:val="left" w:pos="222"/>
              </w:tabs>
              <w:ind w:right="-56"/>
              <w:jc w:val="right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779" w:type="dxa"/>
          </w:tcPr>
          <w:p w14:paraId="41A05063" w14:textId="77777777" w:rsidR="00DE5AAE" w:rsidRPr="00163BC1" w:rsidRDefault="00DE5AAE" w:rsidP="00163BC1">
            <w:pPr>
              <w:ind w:right="52"/>
              <w:jc w:val="right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55.2</w:t>
            </w:r>
          </w:p>
        </w:tc>
        <w:tc>
          <w:tcPr>
            <w:tcW w:w="850" w:type="dxa"/>
          </w:tcPr>
          <w:p w14:paraId="3E38C799" w14:textId="77777777" w:rsidR="00DE5AAE" w:rsidRPr="00163BC1" w:rsidRDefault="00DE5AAE" w:rsidP="00B61220">
            <w:pPr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2.40</w:t>
            </w:r>
          </w:p>
        </w:tc>
        <w:tc>
          <w:tcPr>
            <w:tcW w:w="1278" w:type="dxa"/>
          </w:tcPr>
          <w:p w14:paraId="234E060F" w14:textId="77777777" w:rsidR="00DE5AAE" w:rsidRPr="00163BC1" w:rsidRDefault="00163BC1" w:rsidP="00B61220">
            <w:pPr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-0.83,5.67</w:t>
            </w:r>
          </w:p>
        </w:tc>
        <w:tc>
          <w:tcPr>
            <w:tcW w:w="731" w:type="dxa"/>
          </w:tcPr>
          <w:p w14:paraId="034B4040" w14:textId="77777777" w:rsidR="00DE5AAE" w:rsidRPr="00163BC1" w:rsidRDefault="00DE5AAE" w:rsidP="00B61220">
            <w:pPr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-0.55</w:t>
            </w:r>
          </w:p>
        </w:tc>
        <w:tc>
          <w:tcPr>
            <w:tcW w:w="1381" w:type="dxa"/>
          </w:tcPr>
          <w:p w14:paraId="78EC7FB5" w14:textId="77777777" w:rsidR="00DE5AAE" w:rsidRPr="00163BC1" w:rsidRDefault="00DE5AAE" w:rsidP="00B61220">
            <w:pPr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-0.82, -0.55</w:t>
            </w:r>
          </w:p>
        </w:tc>
        <w:tc>
          <w:tcPr>
            <w:tcW w:w="1021" w:type="dxa"/>
          </w:tcPr>
          <w:p w14:paraId="23EC4642" w14:textId="77777777" w:rsidR="00DE5AAE" w:rsidRPr="00163BC1" w:rsidRDefault="00DE5AAE" w:rsidP="00B61220">
            <w:pPr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5.73</w:t>
            </w:r>
          </w:p>
        </w:tc>
        <w:tc>
          <w:tcPr>
            <w:tcW w:w="1397" w:type="dxa"/>
          </w:tcPr>
          <w:p w14:paraId="3A5013FD" w14:textId="77777777" w:rsidR="00DE5AAE" w:rsidRPr="00163BC1" w:rsidRDefault="00DE5AAE" w:rsidP="00B61220">
            <w:pPr>
              <w:jc w:val="center"/>
              <w:rPr>
                <w:rFonts w:ascii="Times New Roman" w:hAnsi="Times New Roman" w:cs="Times New Roman"/>
              </w:rPr>
            </w:pPr>
            <w:r w:rsidRPr="00163BC1">
              <w:rPr>
                <w:rFonts w:ascii="Times New Roman" w:hAnsi="Times New Roman" w:cs="Times New Roman"/>
              </w:rPr>
              <w:t>0.28,</w:t>
            </w:r>
            <w:r w:rsidR="00DF53C3">
              <w:rPr>
                <w:rFonts w:ascii="Times New Roman" w:hAnsi="Times New Roman" w:cs="Times New Roman"/>
              </w:rPr>
              <w:t xml:space="preserve"> </w:t>
            </w:r>
            <w:r w:rsidRPr="00163BC1">
              <w:rPr>
                <w:rFonts w:ascii="Times New Roman" w:hAnsi="Times New Roman" w:cs="Times New Roman"/>
              </w:rPr>
              <w:t>11.19</w:t>
            </w:r>
          </w:p>
        </w:tc>
      </w:tr>
    </w:tbl>
    <w:p w14:paraId="1997B7BE" w14:textId="77777777" w:rsidR="00B61220" w:rsidRDefault="00B61220"/>
    <w:p w14:paraId="6C70BE33" w14:textId="77777777" w:rsidR="00CB14DA" w:rsidRDefault="00CB14DA" w:rsidP="00CB14DA">
      <w:pPr>
        <w:spacing w:line="360" w:lineRule="auto"/>
      </w:pPr>
      <w:r>
        <w:t>Results Tetra</w:t>
      </w:r>
    </w:p>
    <w:p w14:paraId="3C3DA3FD" w14:textId="77777777" w:rsidR="00CB14DA" w:rsidRDefault="00CB14DA" w:rsidP="00CB14DA">
      <w:pPr>
        <w:spacing w:line="360" w:lineRule="auto"/>
        <w:jc w:val="both"/>
      </w:pPr>
      <w:r>
        <w:t xml:space="preserve">For </w:t>
      </w:r>
      <w:proofErr w:type="spellStart"/>
      <w:r w:rsidRPr="00CB14DA">
        <w:rPr>
          <w:i/>
        </w:rPr>
        <w:t>Tetraclita</w:t>
      </w:r>
      <w:proofErr w:type="spellEnd"/>
      <w:r>
        <w:t>, initial inspection of residuals suggested important deviations from Gaussian distribution. Hence, a separate set of models were fitted using gamma residuals. Those models were retained as they showed lower DIC than all those fitted using Gaussian residuals (Table SX2)</w:t>
      </w:r>
      <w:r w:rsidR="00D4500B">
        <w:t xml:space="preserve"> in addition to improvement in the </w:t>
      </w:r>
      <w:r w:rsidR="002C3A7F">
        <w:t>behaviour</w:t>
      </w:r>
      <w:r w:rsidR="00D4500B">
        <w:t xml:space="preserve"> of residuals in the process of model validation (Fig Residuals Tetra)</w:t>
      </w:r>
      <w:r>
        <w:t xml:space="preserve">. For model selection retained SST as predictor </w:t>
      </w:r>
      <w:r w:rsidR="000E2D1D">
        <w:t xml:space="preserve">(Table SX3) </w:t>
      </w:r>
      <w:r>
        <w:t>irrespective of the prior used for the range (500 or 1000 km).</w:t>
      </w:r>
    </w:p>
    <w:p w14:paraId="23C8E552" w14:textId="77777777" w:rsidR="00CB14DA" w:rsidRDefault="00CB14DA" w:rsidP="00CB14DA">
      <w:pPr>
        <w:spacing w:line="360" w:lineRule="auto"/>
      </w:pPr>
    </w:p>
    <w:p w14:paraId="6D124E68" w14:textId="77777777" w:rsidR="00CB14DA" w:rsidRDefault="00CB14DA" w:rsidP="00CB14DA">
      <w:pPr>
        <w:spacing w:line="360" w:lineRule="auto"/>
      </w:pPr>
    </w:p>
    <w:p w14:paraId="7256E0E4" w14:textId="77777777" w:rsidR="00CB14DA" w:rsidRDefault="00CB14DA" w:rsidP="00CB14DA">
      <w:pPr>
        <w:spacing w:line="360" w:lineRule="auto"/>
      </w:pPr>
    </w:p>
    <w:p w14:paraId="09FE8770" w14:textId="77777777" w:rsidR="00CB14DA" w:rsidRDefault="00CB14DA" w:rsidP="00CB14DA">
      <w:pPr>
        <w:spacing w:line="360" w:lineRule="auto"/>
      </w:pPr>
    </w:p>
    <w:p w14:paraId="049E89DD" w14:textId="77777777" w:rsidR="00CB14DA" w:rsidRDefault="00CB14DA">
      <w:r>
        <w:lastRenderedPageBreak/>
        <w:t>Table SX2 Model selection for Tetra density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302"/>
        <w:gridCol w:w="1475"/>
        <w:gridCol w:w="1559"/>
      </w:tblGrid>
      <w:tr w:rsidR="00CB14DA" w14:paraId="464F5785" w14:textId="77777777" w:rsidTr="00CB14DA">
        <w:tc>
          <w:tcPr>
            <w:tcW w:w="1413" w:type="dxa"/>
          </w:tcPr>
          <w:p w14:paraId="511BA346" w14:textId="77777777" w:rsidR="00CB14DA" w:rsidRDefault="00CB14DA">
            <w:r>
              <w:t>Residuals</w:t>
            </w:r>
          </w:p>
        </w:tc>
        <w:tc>
          <w:tcPr>
            <w:tcW w:w="1302" w:type="dxa"/>
          </w:tcPr>
          <w:p w14:paraId="2C5392EA" w14:textId="77777777" w:rsidR="00CB14DA" w:rsidRDefault="00CB14DA">
            <w:r>
              <w:t>Predictors</w:t>
            </w:r>
          </w:p>
        </w:tc>
        <w:tc>
          <w:tcPr>
            <w:tcW w:w="1475" w:type="dxa"/>
          </w:tcPr>
          <w:p w14:paraId="1D37F6B9" w14:textId="77777777" w:rsidR="00CB14DA" w:rsidRDefault="00CB14DA">
            <w:r>
              <w:t>Spatial 500</w:t>
            </w:r>
          </w:p>
        </w:tc>
        <w:tc>
          <w:tcPr>
            <w:tcW w:w="1559" w:type="dxa"/>
          </w:tcPr>
          <w:p w14:paraId="0700D746" w14:textId="77777777" w:rsidR="00CB14DA" w:rsidRDefault="00CB14DA">
            <w:r>
              <w:t>Spatial 1000</w:t>
            </w:r>
          </w:p>
        </w:tc>
      </w:tr>
      <w:tr w:rsidR="00CB14DA" w14:paraId="061E1D4A" w14:textId="77777777" w:rsidTr="00CB14DA">
        <w:tc>
          <w:tcPr>
            <w:tcW w:w="1413" w:type="dxa"/>
          </w:tcPr>
          <w:p w14:paraId="6CDD60E8" w14:textId="77777777" w:rsidR="00CB14DA" w:rsidRDefault="00CB14DA">
            <w:r>
              <w:t>Gaussian</w:t>
            </w:r>
          </w:p>
        </w:tc>
        <w:tc>
          <w:tcPr>
            <w:tcW w:w="1302" w:type="dxa"/>
          </w:tcPr>
          <w:p w14:paraId="03DB8B16" w14:textId="77777777" w:rsidR="00CB14DA" w:rsidRDefault="00CB14DA">
            <w:r>
              <w:t>SST+WF</w:t>
            </w:r>
          </w:p>
        </w:tc>
        <w:tc>
          <w:tcPr>
            <w:tcW w:w="1475" w:type="dxa"/>
          </w:tcPr>
          <w:p w14:paraId="18738690" w14:textId="77777777" w:rsidR="00CB14DA" w:rsidRDefault="00CB14DA">
            <w:r>
              <w:t>450</w:t>
            </w:r>
          </w:p>
        </w:tc>
        <w:tc>
          <w:tcPr>
            <w:tcW w:w="1559" w:type="dxa"/>
          </w:tcPr>
          <w:p w14:paraId="22FE054D" w14:textId="77777777" w:rsidR="00CB14DA" w:rsidRDefault="00CB14DA">
            <w:r>
              <w:t>450</w:t>
            </w:r>
          </w:p>
        </w:tc>
      </w:tr>
      <w:tr w:rsidR="00CB14DA" w14:paraId="1E0D88F2" w14:textId="77777777" w:rsidTr="00CB14DA">
        <w:tc>
          <w:tcPr>
            <w:tcW w:w="1413" w:type="dxa"/>
          </w:tcPr>
          <w:p w14:paraId="4C5649D8" w14:textId="77777777" w:rsidR="00CB14DA" w:rsidRDefault="00CB14DA" w:rsidP="00CB14DA">
            <w:r>
              <w:t>Gaussian</w:t>
            </w:r>
          </w:p>
        </w:tc>
        <w:tc>
          <w:tcPr>
            <w:tcW w:w="1302" w:type="dxa"/>
          </w:tcPr>
          <w:p w14:paraId="255BB285" w14:textId="77777777" w:rsidR="00CB14DA" w:rsidRDefault="00CB14DA">
            <w:r>
              <w:t>WF</w:t>
            </w:r>
          </w:p>
        </w:tc>
        <w:tc>
          <w:tcPr>
            <w:tcW w:w="1475" w:type="dxa"/>
          </w:tcPr>
          <w:p w14:paraId="49DC63FE" w14:textId="77777777" w:rsidR="00CB14DA" w:rsidRDefault="00CB14DA">
            <w:r>
              <w:t>454</w:t>
            </w:r>
          </w:p>
        </w:tc>
        <w:tc>
          <w:tcPr>
            <w:tcW w:w="1559" w:type="dxa"/>
          </w:tcPr>
          <w:p w14:paraId="26F4F2A6" w14:textId="77777777" w:rsidR="00CB14DA" w:rsidRDefault="00CB14DA">
            <w:r>
              <w:t>455</w:t>
            </w:r>
          </w:p>
        </w:tc>
      </w:tr>
      <w:tr w:rsidR="00CB14DA" w14:paraId="01AD383A" w14:textId="77777777" w:rsidTr="00CB14DA">
        <w:tc>
          <w:tcPr>
            <w:tcW w:w="1413" w:type="dxa"/>
          </w:tcPr>
          <w:p w14:paraId="084B8010" w14:textId="77777777" w:rsidR="00CB14DA" w:rsidRDefault="00CB14DA">
            <w:r>
              <w:t>Gaussian</w:t>
            </w:r>
          </w:p>
        </w:tc>
        <w:tc>
          <w:tcPr>
            <w:tcW w:w="1302" w:type="dxa"/>
          </w:tcPr>
          <w:p w14:paraId="537C989D" w14:textId="77777777" w:rsidR="00CB14DA" w:rsidRDefault="00CB14DA">
            <w:r>
              <w:t>SST</w:t>
            </w:r>
          </w:p>
        </w:tc>
        <w:tc>
          <w:tcPr>
            <w:tcW w:w="1475" w:type="dxa"/>
          </w:tcPr>
          <w:p w14:paraId="6DF79EB7" w14:textId="77777777" w:rsidR="00CB14DA" w:rsidRDefault="00CB14DA">
            <w:r>
              <w:t>452</w:t>
            </w:r>
          </w:p>
        </w:tc>
        <w:tc>
          <w:tcPr>
            <w:tcW w:w="1559" w:type="dxa"/>
          </w:tcPr>
          <w:p w14:paraId="4F90D0F5" w14:textId="77777777" w:rsidR="00CB14DA" w:rsidRDefault="00CB14DA">
            <w:r>
              <w:t>452</w:t>
            </w:r>
          </w:p>
        </w:tc>
      </w:tr>
      <w:tr w:rsidR="00CB14DA" w14:paraId="34A48438" w14:textId="77777777" w:rsidTr="00CB14DA">
        <w:tc>
          <w:tcPr>
            <w:tcW w:w="1413" w:type="dxa"/>
          </w:tcPr>
          <w:p w14:paraId="6D52A7CA" w14:textId="77777777" w:rsidR="00CB14DA" w:rsidRDefault="00CB14DA" w:rsidP="00CB14DA">
            <w:r>
              <w:t>Gamma</w:t>
            </w:r>
          </w:p>
        </w:tc>
        <w:tc>
          <w:tcPr>
            <w:tcW w:w="1302" w:type="dxa"/>
          </w:tcPr>
          <w:p w14:paraId="16FBDC5C" w14:textId="77777777" w:rsidR="00CB14DA" w:rsidRDefault="00CB14DA" w:rsidP="00CB14DA">
            <w:r>
              <w:t>SST+WF</w:t>
            </w:r>
          </w:p>
        </w:tc>
        <w:tc>
          <w:tcPr>
            <w:tcW w:w="1475" w:type="dxa"/>
          </w:tcPr>
          <w:p w14:paraId="57417615" w14:textId="77777777" w:rsidR="00CB14DA" w:rsidRDefault="00CB14DA" w:rsidP="00CB14DA">
            <w:r>
              <w:t>424</w:t>
            </w:r>
          </w:p>
        </w:tc>
        <w:tc>
          <w:tcPr>
            <w:tcW w:w="1559" w:type="dxa"/>
          </w:tcPr>
          <w:p w14:paraId="055BFA78" w14:textId="77777777" w:rsidR="00CB14DA" w:rsidRDefault="00CB14DA" w:rsidP="00CB14DA">
            <w:r>
              <w:t>423</w:t>
            </w:r>
          </w:p>
        </w:tc>
      </w:tr>
      <w:tr w:rsidR="00CB14DA" w14:paraId="1573A4BE" w14:textId="77777777" w:rsidTr="00CB14DA">
        <w:tc>
          <w:tcPr>
            <w:tcW w:w="1413" w:type="dxa"/>
          </w:tcPr>
          <w:p w14:paraId="26711BC8" w14:textId="77777777" w:rsidR="00CB14DA" w:rsidRDefault="00CB14DA" w:rsidP="00CB14DA">
            <w:r>
              <w:t>Gamma</w:t>
            </w:r>
          </w:p>
        </w:tc>
        <w:tc>
          <w:tcPr>
            <w:tcW w:w="1302" w:type="dxa"/>
          </w:tcPr>
          <w:p w14:paraId="5C438D6A" w14:textId="77777777" w:rsidR="00CB14DA" w:rsidRDefault="00CB14DA" w:rsidP="00CB14DA">
            <w:r>
              <w:t>WF</w:t>
            </w:r>
          </w:p>
        </w:tc>
        <w:tc>
          <w:tcPr>
            <w:tcW w:w="1475" w:type="dxa"/>
          </w:tcPr>
          <w:p w14:paraId="2694F978" w14:textId="77777777" w:rsidR="00CB14DA" w:rsidRDefault="00CB14DA" w:rsidP="00CB14DA">
            <w:r>
              <w:t>437</w:t>
            </w:r>
          </w:p>
        </w:tc>
        <w:tc>
          <w:tcPr>
            <w:tcW w:w="1559" w:type="dxa"/>
          </w:tcPr>
          <w:p w14:paraId="3C3341E4" w14:textId="77777777" w:rsidR="00CB14DA" w:rsidRDefault="00CB14DA" w:rsidP="00CB14DA">
            <w:r>
              <w:t>437</w:t>
            </w:r>
          </w:p>
        </w:tc>
      </w:tr>
      <w:tr w:rsidR="00CB14DA" w14:paraId="09BCEB7B" w14:textId="77777777" w:rsidTr="00CB14DA">
        <w:tc>
          <w:tcPr>
            <w:tcW w:w="1413" w:type="dxa"/>
          </w:tcPr>
          <w:p w14:paraId="1083C97E" w14:textId="77777777" w:rsidR="00CB14DA" w:rsidRDefault="00CB14DA" w:rsidP="00CB14DA">
            <w:r>
              <w:t>Gamma</w:t>
            </w:r>
          </w:p>
        </w:tc>
        <w:tc>
          <w:tcPr>
            <w:tcW w:w="1302" w:type="dxa"/>
          </w:tcPr>
          <w:p w14:paraId="2AD5B0A8" w14:textId="77777777" w:rsidR="00CB14DA" w:rsidRDefault="00CB14DA" w:rsidP="00CB14DA">
            <w:r>
              <w:t>SST</w:t>
            </w:r>
          </w:p>
        </w:tc>
        <w:tc>
          <w:tcPr>
            <w:tcW w:w="1475" w:type="dxa"/>
          </w:tcPr>
          <w:p w14:paraId="62E6D440" w14:textId="77777777" w:rsidR="00CB14DA" w:rsidRDefault="00CB14DA" w:rsidP="00CB14DA">
            <w:r>
              <w:t>423</w:t>
            </w:r>
          </w:p>
        </w:tc>
        <w:tc>
          <w:tcPr>
            <w:tcW w:w="1559" w:type="dxa"/>
          </w:tcPr>
          <w:p w14:paraId="4C69966F" w14:textId="77777777" w:rsidR="00CB14DA" w:rsidRDefault="00CB14DA" w:rsidP="00CB14DA">
            <w:r>
              <w:t>423</w:t>
            </w:r>
          </w:p>
        </w:tc>
      </w:tr>
    </w:tbl>
    <w:p w14:paraId="2FA28847" w14:textId="77777777" w:rsidR="00CB14DA" w:rsidRDefault="00CB14DA"/>
    <w:p w14:paraId="0952E749" w14:textId="77777777" w:rsidR="00CB14DA" w:rsidRDefault="00CB14DA"/>
    <w:p w14:paraId="4C7F86AE" w14:textId="77777777" w:rsidR="00CB14DA" w:rsidRDefault="00CB14DA"/>
    <w:p w14:paraId="535E8CAA" w14:textId="77777777" w:rsidR="00CB14DA" w:rsidRPr="00CB14DA" w:rsidRDefault="00CB14DA" w:rsidP="00CB14DA">
      <w:r w:rsidRPr="00CB14DA">
        <w:t>Table S</w:t>
      </w:r>
      <w:r w:rsidR="000E2D1D">
        <w:t>X3</w:t>
      </w:r>
      <w:r w:rsidRPr="00CB14DA">
        <w:t>-</w:t>
      </w:r>
      <w:r>
        <w:t>Tetra-density-gamma</w:t>
      </w:r>
      <w:r w:rsidRPr="00CB14DA">
        <w:t xml:space="preserve">. Summary statistics for models to the location averaged </w:t>
      </w:r>
      <w:proofErr w:type="spellStart"/>
      <w:r w:rsidR="00EF4B85">
        <w:rPr>
          <w:i/>
        </w:rPr>
        <w:t>Tetraclita</w:t>
      </w:r>
      <w:proofErr w:type="spellEnd"/>
      <w:r w:rsidRPr="00CB14DA">
        <w:t xml:space="preserve"> densities fitted through INLA with </w:t>
      </w:r>
      <w:r w:rsidR="00EF4B85">
        <w:t>SST</w:t>
      </w:r>
      <w:r w:rsidRPr="00CB14DA">
        <w:t xml:space="preserve"> as predictor</w:t>
      </w:r>
      <w:r w:rsidR="00EF4B85">
        <w:t xml:space="preserve"> and gamma residuals</w:t>
      </w:r>
      <w:r w:rsidR="00136C55">
        <w:t xml:space="preserve"> and logarithmic link function</w:t>
      </w:r>
      <w:r w:rsidRPr="00CB14DA">
        <w:t xml:space="preserve">. Spatial models differed in the prior for the range of the </w:t>
      </w:r>
      <w:proofErr w:type="spellStart"/>
      <w:r w:rsidRPr="00CB14DA">
        <w:t>Matern</w:t>
      </w:r>
      <w:proofErr w:type="spellEnd"/>
      <w:r w:rsidRPr="00CB14DA">
        <w:t xml:space="preserve"> spatial correlation function (i.e. the distance at which spatial autocorrelation becomes minimal, either 500 or 1000 km). The parameter estimates comprise the posteriors the range, </w:t>
      </w:r>
      <w:proofErr w:type="spellStart"/>
      <w:r w:rsidRPr="00CB14DA">
        <w:t>σ</w:t>
      </w:r>
      <w:proofErr w:type="gramStart"/>
      <w:r w:rsidRPr="00CB14DA">
        <w:rPr>
          <w:vertAlign w:val="subscript"/>
        </w:rPr>
        <w:t>u</w:t>
      </w:r>
      <w:proofErr w:type="spellEnd"/>
      <w:r w:rsidRPr="00CB14DA">
        <w:t xml:space="preserve"> ,</w:t>
      </w:r>
      <w:proofErr w:type="gramEnd"/>
      <w:r w:rsidRPr="00CB14DA">
        <w:t xml:space="preserve"> and the effect of chlorophyll and  wave fetch (parameter estimate= β,  credible interval 95% = CI)</w:t>
      </w:r>
    </w:p>
    <w:tbl>
      <w:tblPr>
        <w:tblStyle w:val="TableGrid1"/>
        <w:tblW w:w="7499" w:type="dxa"/>
        <w:jc w:val="center"/>
        <w:tblLook w:val="04A0" w:firstRow="1" w:lastRow="0" w:firstColumn="1" w:lastColumn="0" w:noHBand="0" w:noVBand="1"/>
      </w:tblPr>
      <w:tblGrid>
        <w:gridCol w:w="1513"/>
        <w:gridCol w:w="636"/>
        <w:gridCol w:w="830"/>
        <w:gridCol w:w="839"/>
        <w:gridCol w:w="1341"/>
        <w:gridCol w:w="990"/>
        <w:gridCol w:w="1350"/>
      </w:tblGrid>
      <w:tr w:rsidR="00EF4B85" w:rsidRPr="00CB14DA" w14:paraId="4B87EF10" w14:textId="77777777" w:rsidTr="00EF4B85">
        <w:trPr>
          <w:jc w:val="center"/>
        </w:trPr>
        <w:tc>
          <w:tcPr>
            <w:tcW w:w="1555" w:type="dxa"/>
          </w:tcPr>
          <w:p w14:paraId="6D472C39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0" w:type="dxa"/>
          </w:tcPr>
          <w:p w14:paraId="5E787812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30" w:type="dxa"/>
          </w:tcPr>
          <w:p w14:paraId="4EA343FF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23" w:type="dxa"/>
            <w:gridSpan w:val="2"/>
          </w:tcPr>
          <w:p w14:paraId="68747855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Intercept</w:t>
            </w:r>
          </w:p>
        </w:tc>
        <w:tc>
          <w:tcPr>
            <w:tcW w:w="2401" w:type="dxa"/>
            <w:gridSpan w:val="2"/>
          </w:tcPr>
          <w:p w14:paraId="573947E5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SST</w:t>
            </w:r>
          </w:p>
        </w:tc>
      </w:tr>
      <w:tr w:rsidR="00EF4B85" w:rsidRPr="00CB14DA" w14:paraId="53C464BD" w14:textId="77777777" w:rsidTr="00EF4B85">
        <w:trPr>
          <w:jc w:val="center"/>
        </w:trPr>
        <w:tc>
          <w:tcPr>
            <w:tcW w:w="1555" w:type="dxa"/>
          </w:tcPr>
          <w:p w14:paraId="38EB0E9B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Model</w:t>
            </w:r>
          </w:p>
        </w:tc>
        <w:tc>
          <w:tcPr>
            <w:tcW w:w="490" w:type="dxa"/>
          </w:tcPr>
          <w:p w14:paraId="2C9C2953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σ</w:t>
            </w:r>
            <w:r w:rsidRPr="00CB14DA"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en-GB"/>
              </w:rPr>
              <w:t>u</w:t>
            </w:r>
            <w:proofErr w:type="spellEnd"/>
          </w:p>
        </w:tc>
        <w:tc>
          <w:tcPr>
            <w:tcW w:w="830" w:type="dxa"/>
          </w:tcPr>
          <w:p w14:paraId="7DEA26E5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Range </w:t>
            </w:r>
          </w:p>
        </w:tc>
        <w:tc>
          <w:tcPr>
            <w:tcW w:w="844" w:type="dxa"/>
          </w:tcPr>
          <w:p w14:paraId="1AE325EA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β</w:t>
            </w:r>
          </w:p>
        </w:tc>
        <w:tc>
          <w:tcPr>
            <w:tcW w:w="1379" w:type="dxa"/>
          </w:tcPr>
          <w:p w14:paraId="17324C44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CI 95%</w:t>
            </w:r>
          </w:p>
        </w:tc>
        <w:tc>
          <w:tcPr>
            <w:tcW w:w="1013" w:type="dxa"/>
          </w:tcPr>
          <w:p w14:paraId="7FA48066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β</w:t>
            </w:r>
          </w:p>
        </w:tc>
        <w:tc>
          <w:tcPr>
            <w:tcW w:w="1388" w:type="dxa"/>
          </w:tcPr>
          <w:p w14:paraId="64DED5FE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CI 95%</w:t>
            </w:r>
          </w:p>
        </w:tc>
      </w:tr>
      <w:tr w:rsidR="00EF4B85" w:rsidRPr="00CB14DA" w14:paraId="11162D38" w14:textId="77777777" w:rsidTr="00EF4B85">
        <w:trPr>
          <w:jc w:val="center"/>
        </w:trPr>
        <w:tc>
          <w:tcPr>
            <w:tcW w:w="1555" w:type="dxa"/>
          </w:tcPr>
          <w:p w14:paraId="30597CFB" w14:textId="77777777" w:rsidR="00EF4B85" w:rsidRPr="00CB14DA" w:rsidRDefault="00EF4B85" w:rsidP="00EF4B8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Spatial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490" w:type="dxa"/>
          </w:tcPr>
          <w:p w14:paraId="741C663F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0.15</w:t>
            </w:r>
          </w:p>
        </w:tc>
        <w:tc>
          <w:tcPr>
            <w:tcW w:w="830" w:type="dxa"/>
          </w:tcPr>
          <w:p w14:paraId="008B8084" w14:textId="77777777" w:rsidR="00EF4B85" w:rsidRPr="00CB14DA" w:rsidRDefault="00EF4B85" w:rsidP="00EF4B8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844" w:type="dxa"/>
          </w:tcPr>
          <w:p w14:paraId="02CE04B9" w14:textId="77777777" w:rsidR="00EF4B85" w:rsidRPr="00CB14DA" w:rsidRDefault="00EF4B85" w:rsidP="00EF4B8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13.33</w:t>
            </w:r>
          </w:p>
        </w:tc>
        <w:tc>
          <w:tcPr>
            <w:tcW w:w="1379" w:type="dxa"/>
          </w:tcPr>
          <w:p w14:paraId="3497EC99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8.24, 18.62</w:t>
            </w:r>
          </w:p>
        </w:tc>
        <w:tc>
          <w:tcPr>
            <w:tcW w:w="1013" w:type="dxa"/>
          </w:tcPr>
          <w:p w14:paraId="435C822F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-0.41</w:t>
            </w:r>
          </w:p>
        </w:tc>
        <w:tc>
          <w:tcPr>
            <w:tcW w:w="1388" w:type="dxa"/>
          </w:tcPr>
          <w:p w14:paraId="4EFB1309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-0.62,-0.20</w:t>
            </w:r>
          </w:p>
        </w:tc>
      </w:tr>
      <w:tr w:rsidR="00EF4B85" w:rsidRPr="00CB14DA" w14:paraId="15DE8DDA" w14:textId="77777777" w:rsidTr="00EF4B85">
        <w:trPr>
          <w:jc w:val="center"/>
        </w:trPr>
        <w:tc>
          <w:tcPr>
            <w:tcW w:w="1555" w:type="dxa"/>
          </w:tcPr>
          <w:p w14:paraId="1AD174DE" w14:textId="77777777" w:rsidR="00EF4B85" w:rsidRPr="00CB14DA" w:rsidRDefault="00EF4B85" w:rsidP="00EF4B8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Spatial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</w:t>
            </w:r>
            <w:r w:rsidRPr="00CB14D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490" w:type="dxa"/>
          </w:tcPr>
          <w:p w14:paraId="707D32FA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0.15</w:t>
            </w:r>
          </w:p>
        </w:tc>
        <w:tc>
          <w:tcPr>
            <w:tcW w:w="830" w:type="dxa"/>
          </w:tcPr>
          <w:p w14:paraId="0E1981DB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314</w:t>
            </w:r>
          </w:p>
        </w:tc>
        <w:tc>
          <w:tcPr>
            <w:tcW w:w="844" w:type="dxa"/>
          </w:tcPr>
          <w:p w14:paraId="03976ABB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13.53</w:t>
            </w:r>
          </w:p>
        </w:tc>
        <w:tc>
          <w:tcPr>
            <w:tcW w:w="1379" w:type="dxa"/>
          </w:tcPr>
          <w:p w14:paraId="62E635F0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8.38, 18.95</w:t>
            </w:r>
          </w:p>
        </w:tc>
        <w:tc>
          <w:tcPr>
            <w:tcW w:w="1013" w:type="dxa"/>
          </w:tcPr>
          <w:p w14:paraId="34B02642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-0.42</w:t>
            </w:r>
          </w:p>
        </w:tc>
        <w:tc>
          <w:tcPr>
            <w:tcW w:w="1388" w:type="dxa"/>
          </w:tcPr>
          <w:p w14:paraId="64B8854B" w14:textId="77777777" w:rsidR="00EF4B85" w:rsidRPr="00CB14DA" w:rsidRDefault="00EF4B85" w:rsidP="00CB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-0.63, -0.21</w:t>
            </w:r>
          </w:p>
        </w:tc>
      </w:tr>
    </w:tbl>
    <w:p w14:paraId="15F4A47D" w14:textId="77777777" w:rsidR="00CB14DA" w:rsidRPr="00CB14DA" w:rsidRDefault="00CB14DA" w:rsidP="00CB14DA"/>
    <w:p w14:paraId="6556FD0A" w14:textId="77777777" w:rsidR="00CB14DA" w:rsidRDefault="00CB14DA"/>
    <w:p w14:paraId="55365A39" w14:textId="77777777" w:rsidR="00B61220" w:rsidRDefault="00B61220" w:rsidP="00DE5AAE">
      <w:pPr>
        <w:spacing w:line="360" w:lineRule="auto"/>
      </w:pPr>
    </w:p>
    <w:p w14:paraId="213024A3" w14:textId="77777777" w:rsidR="00B61220" w:rsidRDefault="00B61220" w:rsidP="00DE5AAE">
      <w:pPr>
        <w:spacing w:line="360" w:lineRule="auto"/>
      </w:pPr>
    </w:p>
    <w:p w14:paraId="4EFA3238" w14:textId="77777777" w:rsidR="00B61220" w:rsidRDefault="00B61220" w:rsidP="00DE5AAE">
      <w:pPr>
        <w:spacing w:line="360" w:lineRule="auto"/>
      </w:pPr>
    </w:p>
    <w:sectPr w:rsidR="00B61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20"/>
    <w:rsid w:val="000706E1"/>
    <w:rsid w:val="000E2D1D"/>
    <w:rsid w:val="00115A45"/>
    <w:rsid w:val="00136C55"/>
    <w:rsid w:val="00163BC1"/>
    <w:rsid w:val="001E6987"/>
    <w:rsid w:val="002012D6"/>
    <w:rsid w:val="002A16BF"/>
    <w:rsid w:val="002C3A7F"/>
    <w:rsid w:val="003A0A35"/>
    <w:rsid w:val="004443AB"/>
    <w:rsid w:val="004A6670"/>
    <w:rsid w:val="00806806"/>
    <w:rsid w:val="009C48D0"/>
    <w:rsid w:val="009E7658"/>
    <w:rsid w:val="00A27DB9"/>
    <w:rsid w:val="00B61220"/>
    <w:rsid w:val="00B9558D"/>
    <w:rsid w:val="00CB14DA"/>
    <w:rsid w:val="00D4500B"/>
    <w:rsid w:val="00D7280C"/>
    <w:rsid w:val="00DE5AAE"/>
    <w:rsid w:val="00DF53C3"/>
    <w:rsid w:val="00E47BD5"/>
    <w:rsid w:val="00E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F275"/>
  <w15:chartTrackingRefBased/>
  <w15:docId w15:val="{C84BD68A-A2E7-411A-90C3-A5201351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6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elanormal"/>
    <w:next w:val="Tabelacomgrade"/>
    <w:uiPriority w:val="39"/>
    <w:rsid w:val="00B61220"/>
    <w:pPr>
      <w:spacing w:after="0" w:line="240" w:lineRule="auto"/>
    </w:pPr>
    <w:rPr>
      <w:rFonts w:ascii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Gimenez</dc:creator>
  <cp:keywords/>
  <dc:description/>
  <cp:lastModifiedBy>Cesar Cordeiro</cp:lastModifiedBy>
  <cp:revision>3</cp:revision>
  <dcterms:created xsi:type="dcterms:W3CDTF">2021-07-19T07:27:00Z</dcterms:created>
  <dcterms:modified xsi:type="dcterms:W3CDTF">2021-12-15T12:26:00Z</dcterms:modified>
</cp:coreProperties>
</file>