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BC04" w14:textId="35F872E6" w:rsidR="00093E19" w:rsidRDefault="00093E19">
      <w:pPr>
        <w:rPr>
          <w:u w:val="single"/>
        </w:rPr>
      </w:pPr>
      <w:r w:rsidRPr="00093E19">
        <w:rPr>
          <w:u w:val="single"/>
        </w:rPr>
        <w:t>Test plan</w:t>
      </w:r>
    </w:p>
    <w:p w14:paraId="5B6FCC7F" w14:textId="77777777" w:rsidR="00093E19" w:rsidRDefault="00093E19">
      <w:pPr>
        <w:rPr>
          <w:u w:val="single"/>
        </w:rPr>
      </w:pPr>
    </w:p>
    <w:p w14:paraId="3D3F0713" w14:textId="77777777" w:rsidR="00093E19" w:rsidRDefault="00093E19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49"/>
        <w:gridCol w:w="2279"/>
        <w:gridCol w:w="2240"/>
      </w:tblGrid>
      <w:tr w:rsidR="00DC78BF" w:rsidRPr="00727D35" w14:paraId="16E47E23" w14:textId="35A92829" w:rsidTr="00E22E7A">
        <w:tc>
          <w:tcPr>
            <w:tcW w:w="2254" w:type="dxa"/>
          </w:tcPr>
          <w:p w14:paraId="31963C85" w14:textId="2964B268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Requirement</w:t>
            </w:r>
          </w:p>
        </w:tc>
        <w:tc>
          <w:tcPr>
            <w:tcW w:w="2254" w:type="dxa"/>
          </w:tcPr>
          <w:p w14:paraId="6B9C8791" w14:textId="7099EB73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Tests to ensure this requirement is met</w:t>
            </w:r>
          </w:p>
        </w:tc>
        <w:tc>
          <w:tcPr>
            <w:tcW w:w="2254" w:type="dxa"/>
          </w:tcPr>
          <w:p w14:paraId="4D5F1F71" w14:textId="4C7F8492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Reasoning</w:t>
            </w:r>
          </w:p>
        </w:tc>
        <w:tc>
          <w:tcPr>
            <w:tcW w:w="2254" w:type="dxa"/>
          </w:tcPr>
          <w:p w14:paraId="35768F20" w14:textId="77777777" w:rsidR="00DC78BF" w:rsidRPr="00727D35" w:rsidRDefault="00DC78BF">
            <w:pPr>
              <w:rPr>
                <w:sz w:val="22"/>
                <w:szCs w:val="22"/>
              </w:rPr>
            </w:pPr>
          </w:p>
        </w:tc>
      </w:tr>
      <w:tr w:rsidR="00DC78BF" w:rsidRPr="00727D35" w14:paraId="5406A6C3" w14:textId="205D9D7D" w:rsidTr="00DC78BF">
        <w:tc>
          <w:tcPr>
            <w:tcW w:w="2254" w:type="dxa"/>
            <w:shd w:val="clear" w:color="auto" w:fill="D9F2D0" w:themeFill="accent6" w:themeFillTint="33"/>
          </w:tcPr>
          <w:p w14:paraId="56C7B904" w14:textId="0CC80470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Endpoint responds correctly to REST requests</w:t>
            </w:r>
            <w:r w:rsidR="00B13109">
              <w:rPr>
                <w:sz w:val="22"/>
                <w:szCs w:val="22"/>
              </w:rPr>
              <w:t xml:space="preserve"> (R1).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4711A00D" w14:textId="38B8B1EF" w:rsidR="00DC78BF" w:rsidRPr="00727D35" w:rsidRDefault="001964BC" w:rsidP="001964BC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 xml:space="preserve">I will </w:t>
            </w:r>
            <w:proofErr w:type="gramStart"/>
            <w:r w:rsidRPr="00727D35">
              <w:rPr>
                <w:sz w:val="22"/>
                <w:szCs w:val="22"/>
              </w:rPr>
              <w:t>black-box</w:t>
            </w:r>
            <w:proofErr w:type="gramEnd"/>
            <w:r w:rsidRPr="00727D35">
              <w:rPr>
                <w:sz w:val="22"/>
                <w:szCs w:val="22"/>
              </w:rPr>
              <w:t xml:space="preserve"> test the endpoint with a large collection of pre-defined valid and invalid test orders and assert that the result is as expected.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795D315A" w14:textId="504BCE5F" w:rsidR="00DC78BF" w:rsidRPr="00727D35" w:rsidRDefault="001964BC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This aligns with the principles of TTD which enhances coverage and efficiency by separating logic from test data.</w:t>
            </w:r>
          </w:p>
        </w:tc>
        <w:tc>
          <w:tcPr>
            <w:tcW w:w="2254" w:type="dxa"/>
            <w:vMerge w:val="restart"/>
            <w:shd w:val="clear" w:color="auto" w:fill="D9F2D0" w:themeFill="accent6" w:themeFillTint="33"/>
          </w:tcPr>
          <w:p w14:paraId="426F763D" w14:textId="400807D2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System Tests</w:t>
            </w:r>
          </w:p>
        </w:tc>
      </w:tr>
      <w:tr w:rsidR="00DC78BF" w:rsidRPr="00727D35" w14:paraId="255005B4" w14:textId="4917D3FB" w:rsidTr="00DC78BF">
        <w:tc>
          <w:tcPr>
            <w:tcW w:w="2254" w:type="dxa"/>
            <w:shd w:val="clear" w:color="auto" w:fill="D9F2D0" w:themeFill="accent6" w:themeFillTint="33"/>
          </w:tcPr>
          <w:p w14:paraId="1E385657" w14:textId="40C626B7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The endpoint avoids no-fly zones</w:t>
            </w:r>
            <w:r w:rsidR="00B13109">
              <w:rPr>
                <w:sz w:val="22"/>
                <w:szCs w:val="22"/>
              </w:rPr>
              <w:t xml:space="preserve"> (R2).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725516BA" w14:textId="3C24A2D7" w:rsidR="00DC78BF" w:rsidRPr="00727D35" w:rsidRDefault="001F2D3A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I will make post requests to the endpoint with test orders using Mockito, loop through each node of the path and check that it is not in a no-fly zone.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0960A4CA" w14:textId="09514FB9" w:rsidR="00DC78BF" w:rsidRPr="00727D35" w:rsidRDefault="00085137">
            <w:pPr>
              <w:rPr>
                <w:sz w:val="22"/>
                <w:szCs w:val="22"/>
              </w:rPr>
            </w:pPr>
            <w:r w:rsidRPr="00085137">
              <w:rPr>
                <w:sz w:val="22"/>
                <w:szCs w:val="22"/>
              </w:rPr>
              <w:t>Mocking external dependencies like the no-fly zone service allows for isolated testing of the endpoint's logic. Verifying each node ensures that the entire path adheres to the no-fly zone restrictions.</w:t>
            </w:r>
          </w:p>
        </w:tc>
        <w:tc>
          <w:tcPr>
            <w:tcW w:w="2254" w:type="dxa"/>
            <w:vMerge/>
            <w:shd w:val="clear" w:color="auto" w:fill="D9F2D0" w:themeFill="accent6" w:themeFillTint="33"/>
          </w:tcPr>
          <w:p w14:paraId="322C2B83" w14:textId="77777777" w:rsidR="00DC78BF" w:rsidRPr="00727D35" w:rsidRDefault="00DC78BF">
            <w:pPr>
              <w:rPr>
                <w:sz w:val="22"/>
                <w:szCs w:val="22"/>
              </w:rPr>
            </w:pPr>
          </w:p>
        </w:tc>
      </w:tr>
      <w:tr w:rsidR="00DC78BF" w:rsidRPr="00727D35" w14:paraId="77A24021" w14:textId="638E0692" w:rsidTr="00DC78BF">
        <w:tc>
          <w:tcPr>
            <w:tcW w:w="2254" w:type="dxa"/>
            <w:shd w:val="clear" w:color="auto" w:fill="D9F2D0" w:themeFill="accent6" w:themeFillTint="33"/>
          </w:tcPr>
          <w:p w14:paraId="09F796E5" w14:textId="798A1149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The endpoint delivers to the correct location</w:t>
            </w:r>
            <w:r w:rsidR="00B13109">
              <w:rPr>
                <w:sz w:val="22"/>
                <w:szCs w:val="22"/>
              </w:rPr>
              <w:t xml:space="preserve"> (R3).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7A64941F" w14:textId="1B02593E" w:rsidR="00DC78BF" w:rsidRPr="00727D35" w:rsidRDefault="001F2D3A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I will make post requests to the endpoint with test orders using Mockito and assert that the final node of the path is near Appleton.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6D663BE4" w14:textId="74DA8D29" w:rsidR="00DC78BF" w:rsidRPr="00727D35" w:rsidRDefault="00085137">
            <w:pPr>
              <w:rPr>
                <w:sz w:val="22"/>
                <w:szCs w:val="22"/>
              </w:rPr>
            </w:pPr>
            <w:proofErr w:type="gramStart"/>
            <w:r w:rsidRPr="00085137">
              <w:rPr>
                <w:sz w:val="22"/>
                <w:szCs w:val="22"/>
              </w:rPr>
              <w:t>Similar to</w:t>
            </w:r>
            <w:proofErr w:type="gramEnd"/>
            <w:r w:rsidRPr="00085137">
              <w:rPr>
                <w:sz w:val="22"/>
                <w:szCs w:val="22"/>
              </w:rPr>
              <w:t xml:space="preserve"> the previous test, mocking ensures focused testing. Asserting the final node's proximity to Appleton Tower validates successful delivery.</w:t>
            </w:r>
          </w:p>
        </w:tc>
        <w:tc>
          <w:tcPr>
            <w:tcW w:w="2254" w:type="dxa"/>
            <w:vMerge/>
            <w:shd w:val="clear" w:color="auto" w:fill="D9F2D0" w:themeFill="accent6" w:themeFillTint="33"/>
          </w:tcPr>
          <w:p w14:paraId="5A9F01E7" w14:textId="77777777" w:rsidR="00DC78BF" w:rsidRPr="00727D35" w:rsidRDefault="00DC78BF">
            <w:pPr>
              <w:rPr>
                <w:sz w:val="22"/>
                <w:szCs w:val="22"/>
              </w:rPr>
            </w:pPr>
          </w:p>
        </w:tc>
      </w:tr>
      <w:tr w:rsidR="00DC78BF" w:rsidRPr="00727D35" w14:paraId="4E950454" w14:textId="2118E638" w:rsidTr="00DC78BF">
        <w:tc>
          <w:tcPr>
            <w:tcW w:w="2254" w:type="dxa"/>
            <w:shd w:val="clear" w:color="auto" w:fill="D9F2D0" w:themeFill="accent6" w:themeFillTint="33"/>
          </w:tcPr>
          <w:p w14:paraId="2683180B" w14:textId="032F9F53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The endpoint runs under 60 seconds</w:t>
            </w:r>
            <w:r w:rsidR="00B13109">
              <w:rPr>
                <w:sz w:val="22"/>
                <w:szCs w:val="22"/>
              </w:rPr>
              <w:t xml:space="preserve"> (R4).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0E3E20C3" w14:textId="6833E8AA" w:rsidR="00DC78BF" w:rsidRPr="00727D35" w:rsidRDefault="001F2D3A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I will make post requests to the endpoint with test orders using Mockito and assert that the time taken is &lt; 60 seconds</w:t>
            </w:r>
            <w:r w:rsidR="00C90195" w:rsidRPr="00727D35">
              <w:rPr>
                <w:sz w:val="22"/>
                <w:szCs w:val="22"/>
              </w:rPr>
              <w:t xml:space="preserve"> (Performance testing)</w:t>
            </w:r>
            <w:r w:rsidRPr="00727D35">
              <w:rPr>
                <w:sz w:val="22"/>
                <w:szCs w:val="22"/>
              </w:rPr>
              <w:t>.</w:t>
            </w:r>
          </w:p>
        </w:tc>
        <w:tc>
          <w:tcPr>
            <w:tcW w:w="2254" w:type="dxa"/>
            <w:shd w:val="clear" w:color="auto" w:fill="D9F2D0" w:themeFill="accent6" w:themeFillTint="33"/>
          </w:tcPr>
          <w:p w14:paraId="5F015B1A" w14:textId="04BDB868" w:rsidR="00DC78BF" w:rsidRPr="00727D35" w:rsidRDefault="00085137">
            <w:pPr>
              <w:rPr>
                <w:sz w:val="22"/>
                <w:szCs w:val="22"/>
              </w:rPr>
            </w:pPr>
            <w:r w:rsidRPr="00085137">
              <w:rPr>
                <w:sz w:val="22"/>
                <w:szCs w:val="22"/>
              </w:rPr>
              <w:t>This directly addresses the performance requirement. Mocking dependencies helps to isolate the endpoint's performance and avoid external factors influencing the results.</w:t>
            </w:r>
          </w:p>
        </w:tc>
        <w:tc>
          <w:tcPr>
            <w:tcW w:w="2254" w:type="dxa"/>
            <w:vMerge/>
            <w:shd w:val="clear" w:color="auto" w:fill="D9F2D0" w:themeFill="accent6" w:themeFillTint="33"/>
          </w:tcPr>
          <w:p w14:paraId="5344AA04" w14:textId="77777777" w:rsidR="00DC78BF" w:rsidRPr="00727D35" w:rsidRDefault="00DC78BF">
            <w:pPr>
              <w:rPr>
                <w:sz w:val="22"/>
                <w:szCs w:val="22"/>
              </w:rPr>
            </w:pPr>
          </w:p>
        </w:tc>
      </w:tr>
      <w:tr w:rsidR="00DC78BF" w:rsidRPr="00727D35" w14:paraId="21042365" w14:textId="0C3B33B9" w:rsidTr="00DC78BF">
        <w:tc>
          <w:tcPr>
            <w:tcW w:w="2254" w:type="dxa"/>
            <w:shd w:val="clear" w:color="auto" w:fill="FAE2D5" w:themeFill="accent2" w:themeFillTint="33"/>
          </w:tcPr>
          <w:p w14:paraId="45D3EC42" w14:textId="7896D3C8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The REST controller interacts seamlessly with other services used by the endpoint</w:t>
            </w:r>
            <w:r w:rsidR="00B13109">
              <w:rPr>
                <w:sz w:val="22"/>
                <w:szCs w:val="22"/>
              </w:rPr>
              <w:t xml:space="preserve"> (R5).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6E1B8B1F" w14:textId="2FB7B40C" w:rsidR="00DC78BF" w:rsidRPr="00727D35" w:rsidRDefault="00C90195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I will test the controller-to-</w:t>
            </w:r>
            <w:proofErr w:type="spellStart"/>
            <w:r w:rsidRPr="00727D35">
              <w:rPr>
                <w:sz w:val="22"/>
                <w:szCs w:val="22"/>
              </w:rPr>
              <w:t>FlightPathService</w:t>
            </w:r>
            <w:proofErr w:type="spellEnd"/>
            <w:r w:rsidRPr="00727D35">
              <w:rPr>
                <w:sz w:val="22"/>
                <w:szCs w:val="22"/>
              </w:rPr>
              <w:t xml:space="preserve"> integration by mocking the Flightpath and </w:t>
            </w:r>
            <w:proofErr w:type="spellStart"/>
            <w:r w:rsidRPr="00727D35">
              <w:rPr>
                <w:sz w:val="22"/>
                <w:szCs w:val="22"/>
              </w:rPr>
              <w:lastRenderedPageBreak/>
              <w:t>orderValidation</w:t>
            </w:r>
            <w:proofErr w:type="spellEnd"/>
            <w:r w:rsidRPr="00727D35">
              <w:rPr>
                <w:sz w:val="22"/>
                <w:szCs w:val="22"/>
              </w:rPr>
              <w:t xml:space="preserve"> services.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6E1386A8" w14:textId="29A14A16" w:rsidR="00DC78BF" w:rsidRPr="00727D35" w:rsidRDefault="00085137">
            <w:pPr>
              <w:rPr>
                <w:sz w:val="22"/>
                <w:szCs w:val="22"/>
              </w:rPr>
            </w:pPr>
            <w:r w:rsidRPr="00085137">
              <w:rPr>
                <w:sz w:val="22"/>
                <w:szCs w:val="22"/>
              </w:rPr>
              <w:lastRenderedPageBreak/>
              <w:t xml:space="preserve">Mocking these services allows </w:t>
            </w:r>
            <w:r>
              <w:rPr>
                <w:sz w:val="22"/>
                <w:szCs w:val="22"/>
              </w:rPr>
              <w:t>me</w:t>
            </w:r>
            <w:r w:rsidRPr="00085137">
              <w:rPr>
                <w:sz w:val="22"/>
                <w:szCs w:val="22"/>
              </w:rPr>
              <w:t xml:space="preserve"> to test the controller's logic independently, focusing on the data flow and interaction between the </w:t>
            </w:r>
            <w:r w:rsidRPr="00085137">
              <w:rPr>
                <w:sz w:val="22"/>
                <w:szCs w:val="22"/>
              </w:rPr>
              <w:lastRenderedPageBreak/>
              <w:t>controller and its dependencies.</w:t>
            </w:r>
          </w:p>
        </w:tc>
        <w:tc>
          <w:tcPr>
            <w:tcW w:w="2254" w:type="dxa"/>
            <w:shd w:val="clear" w:color="auto" w:fill="FAE2D5" w:themeFill="accent2" w:themeFillTint="33"/>
          </w:tcPr>
          <w:p w14:paraId="563BF2A2" w14:textId="332081F1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lastRenderedPageBreak/>
              <w:t>Integration Tests</w:t>
            </w:r>
          </w:p>
        </w:tc>
      </w:tr>
      <w:tr w:rsidR="00DC78BF" w:rsidRPr="00727D35" w14:paraId="7BABD451" w14:textId="54D8140E" w:rsidTr="00DC78BF">
        <w:tc>
          <w:tcPr>
            <w:tcW w:w="2254" w:type="dxa"/>
            <w:shd w:val="clear" w:color="auto" w:fill="C1E4F5" w:themeFill="accent1" w:themeFillTint="33"/>
          </w:tcPr>
          <w:p w14:paraId="36CE9975" w14:textId="1F2E6F29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 xml:space="preserve">The flight path logic within the </w:t>
            </w:r>
            <w:proofErr w:type="spellStart"/>
            <w:r w:rsidRPr="00727D35">
              <w:rPr>
                <w:sz w:val="22"/>
                <w:szCs w:val="22"/>
              </w:rPr>
              <w:t>FlightPathService</w:t>
            </w:r>
            <w:proofErr w:type="spellEnd"/>
            <w:r w:rsidRPr="00727D35">
              <w:rPr>
                <w:sz w:val="22"/>
                <w:szCs w:val="22"/>
              </w:rPr>
              <w:t xml:space="preserve"> works as intended, considering factors such as drone movement constraints, no-fly zones</w:t>
            </w:r>
            <w:r w:rsidR="00B13109">
              <w:rPr>
                <w:sz w:val="22"/>
                <w:szCs w:val="22"/>
              </w:rPr>
              <w:t xml:space="preserve"> (R6).</w:t>
            </w:r>
          </w:p>
        </w:tc>
        <w:tc>
          <w:tcPr>
            <w:tcW w:w="2254" w:type="dxa"/>
            <w:shd w:val="clear" w:color="auto" w:fill="C1E4F5" w:themeFill="accent1" w:themeFillTint="33"/>
          </w:tcPr>
          <w:p w14:paraId="2EE1E716" w14:textId="0D5FC8D3" w:rsidR="00DC78BF" w:rsidRPr="00727D35" w:rsidRDefault="00C90195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 xml:space="preserve">I will use </w:t>
            </w:r>
            <w:proofErr w:type="gramStart"/>
            <w:r w:rsidRPr="00727D35">
              <w:rPr>
                <w:sz w:val="22"/>
                <w:szCs w:val="22"/>
              </w:rPr>
              <w:t>white-box</w:t>
            </w:r>
            <w:proofErr w:type="gramEnd"/>
            <w:r w:rsidRPr="00727D35">
              <w:rPr>
                <w:sz w:val="22"/>
                <w:szCs w:val="22"/>
              </w:rPr>
              <w:t xml:space="preserve"> testing to cover </w:t>
            </w:r>
            <w:r w:rsidR="00727D35" w:rsidRPr="00727D35">
              <w:rPr>
                <w:sz w:val="22"/>
                <w:szCs w:val="22"/>
              </w:rPr>
              <w:t xml:space="preserve">the logic of the </w:t>
            </w:r>
            <w:proofErr w:type="spellStart"/>
            <w:r w:rsidR="00727D35" w:rsidRPr="00727D35">
              <w:rPr>
                <w:sz w:val="22"/>
                <w:szCs w:val="22"/>
              </w:rPr>
              <w:t>FlightPathService</w:t>
            </w:r>
            <w:proofErr w:type="spellEnd"/>
            <w:r w:rsidR="00727D35" w:rsidRPr="00727D35">
              <w:rPr>
                <w:sz w:val="22"/>
                <w:szCs w:val="22"/>
              </w:rPr>
              <w:t xml:space="preserve"> using Junit. I will use concepts such as equivalence partitioning, boundary testing, and</w:t>
            </w:r>
          </w:p>
        </w:tc>
        <w:tc>
          <w:tcPr>
            <w:tcW w:w="2254" w:type="dxa"/>
            <w:shd w:val="clear" w:color="auto" w:fill="C1E4F5" w:themeFill="accent1" w:themeFillTint="33"/>
          </w:tcPr>
          <w:p w14:paraId="730148AF" w14:textId="0337808A" w:rsidR="00DC78BF" w:rsidRPr="00727D35" w:rsidRDefault="00085137">
            <w:pPr>
              <w:rPr>
                <w:sz w:val="22"/>
                <w:szCs w:val="22"/>
              </w:rPr>
            </w:pPr>
            <w:r w:rsidRPr="00085137">
              <w:rPr>
                <w:sz w:val="22"/>
                <w:szCs w:val="22"/>
              </w:rPr>
              <w:t xml:space="preserve">White-box testing is appropriate here as </w:t>
            </w:r>
            <w:r>
              <w:rPr>
                <w:sz w:val="22"/>
                <w:szCs w:val="22"/>
              </w:rPr>
              <w:t>I’m</w:t>
            </w:r>
            <w:r w:rsidRPr="00085137">
              <w:rPr>
                <w:sz w:val="22"/>
                <w:szCs w:val="22"/>
              </w:rPr>
              <w:t xml:space="preserve"> testing the internal logic of the </w:t>
            </w:r>
            <w:proofErr w:type="spellStart"/>
            <w:r w:rsidRPr="00085137">
              <w:rPr>
                <w:sz w:val="22"/>
                <w:szCs w:val="22"/>
              </w:rPr>
              <w:t>FlightPathService</w:t>
            </w:r>
            <w:proofErr w:type="spellEnd"/>
            <w:r w:rsidRPr="00085137">
              <w:rPr>
                <w:sz w:val="22"/>
                <w:szCs w:val="22"/>
              </w:rPr>
              <w:t>. Equivalence partitioning and boundary testing ensure that different input ranges and edge cases are covered. Path coverage aims to test all possible execution paths within the logic.</w:t>
            </w:r>
          </w:p>
        </w:tc>
        <w:tc>
          <w:tcPr>
            <w:tcW w:w="2254" w:type="dxa"/>
            <w:vMerge w:val="restart"/>
            <w:shd w:val="clear" w:color="auto" w:fill="C1E4F5" w:themeFill="accent1" w:themeFillTint="33"/>
          </w:tcPr>
          <w:p w14:paraId="008649D0" w14:textId="0A1B322A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Unit Tests</w:t>
            </w:r>
          </w:p>
        </w:tc>
      </w:tr>
      <w:tr w:rsidR="00DC78BF" w:rsidRPr="00727D35" w14:paraId="184B690C" w14:textId="3ACA532E" w:rsidTr="00DC78BF">
        <w:tc>
          <w:tcPr>
            <w:tcW w:w="2254" w:type="dxa"/>
            <w:shd w:val="clear" w:color="auto" w:fill="C1E4F5" w:themeFill="accent1" w:themeFillTint="33"/>
          </w:tcPr>
          <w:p w14:paraId="09FD1679" w14:textId="32D709C1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 xml:space="preserve">The </w:t>
            </w:r>
            <w:proofErr w:type="spellStart"/>
            <w:r w:rsidRPr="00727D35">
              <w:rPr>
                <w:sz w:val="22"/>
                <w:szCs w:val="22"/>
              </w:rPr>
              <w:t>FlightPathService</w:t>
            </w:r>
            <w:proofErr w:type="spellEnd"/>
            <w:r w:rsidRPr="00727D35">
              <w:rPr>
                <w:sz w:val="22"/>
                <w:szCs w:val="22"/>
              </w:rPr>
              <w:t xml:space="preserve"> retrieves restaurant information from the external API correctly</w:t>
            </w:r>
            <w:r w:rsidR="00B13109">
              <w:rPr>
                <w:sz w:val="22"/>
                <w:szCs w:val="22"/>
              </w:rPr>
              <w:t xml:space="preserve"> (R7).</w:t>
            </w:r>
          </w:p>
        </w:tc>
        <w:tc>
          <w:tcPr>
            <w:tcW w:w="2254" w:type="dxa"/>
            <w:shd w:val="clear" w:color="auto" w:fill="C1E4F5" w:themeFill="accent1" w:themeFillTint="33"/>
          </w:tcPr>
          <w:p w14:paraId="4D53DAED" w14:textId="28728B6E" w:rsidR="00DC78BF" w:rsidRPr="00727D35" w:rsidRDefault="00727D35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 xml:space="preserve">I will run unit tests that check the exception handling of the method </w:t>
            </w:r>
            <w:proofErr w:type="spellStart"/>
            <w:r w:rsidRPr="00727D35">
              <w:rPr>
                <w:sz w:val="22"/>
                <w:szCs w:val="22"/>
              </w:rPr>
              <w:t>getNoFlyZones</w:t>
            </w:r>
            <w:proofErr w:type="spellEnd"/>
            <w:r w:rsidRPr="00727D35">
              <w:rPr>
                <w:sz w:val="22"/>
                <w:szCs w:val="22"/>
              </w:rPr>
              <w:t xml:space="preserve"> as well as </w:t>
            </w:r>
            <w:r w:rsidR="00085137">
              <w:rPr>
                <w:sz w:val="22"/>
                <w:szCs w:val="22"/>
              </w:rPr>
              <w:t>getC</w:t>
            </w:r>
            <w:r w:rsidRPr="00727D35">
              <w:rPr>
                <w:sz w:val="22"/>
                <w:szCs w:val="22"/>
              </w:rPr>
              <w:t>entral</w:t>
            </w:r>
            <w:r w:rsidR="00085137">
              <w:rPr>
                <w:sz w:val="22"/>
                <w:szCs w:val="22"/>
              </w:rPr>
              <w:t>A</w:t>
            </w:r>
            <w:r w:rsidRPr="00727D35">
              <w:rPr>
                <w:sz w:val="22"/>
                <w:szCs w:val="22"/>
              </w:rPr>
              <w:t>rea.</w:t>
            </w:r>
          </w:p>
        </w:tc>
        <w:tc>
          <w:tcPr>
            <w:tcW w:w="2254" w:type="dxa"/>
            <w:shd w:val="clear" w:color="auto" w:fill="C1E4F5" w:themeFill="accent1" w:themeFillTint="33"/>
          </w:tcPr>
          <w:p w14:paraId="3E0783B3" w14:textId="61E3A20A" w:rsidR="00DC78BF" w:rsidRPr="00727D35" w:rsidRDefault="00085137">
            <w:pPr>
              <w:rPr>
                <w:sz w:val="22"/>
                <w:szCs w:val="22"/>
              </w:rPr>
            </w:pPr>
            <w:r w:rsidRPr="00085137">
              <w:rPr>
                <w:sz w:val="22"/>
                <w:szCs w:val="22"/>
              </w:rPr>
              <w:t>This focuses on the service's ability to handle potential errors during API calls. Testing exception handling ensures the service's resilience in case of network issues or unexpected API responses.</w:t>
            </w:r>
          </w:p>
        </w:tc>
        <w:tc>
          <w:tcPr>
            <w:tcW w:w="2254" w:type="dxa"/>
            <w:vMerge/>
            <w:shd w:val="clear" w:color="auto" w:fill="C1E4F5" w:themeFill="accent1" w:themeFillTint="33"/>
          </w:tcPr>
          <w:p w14:paraId="7EE5E267" w14:textId="77777777" w:rsidR="00DC78BF" w:rsidRPr="00727D35" w:rsidRDefault="00DC78BF">
            <w:pPr>
              <w:rPr>
                <w:sz w:val="22"/>
                <w:szCs w:val="22"/>
              </w:rPr>
            </w:pPr>
          </w:p>
        </w:tc>
      </w:tr>
      <w:tr w:rsidR="00DC78BF" w:rsidRPr="00727D35" w14:paraId="42079171" w14:textId="542B74CA" w:rsidTr="00DC78BF">
        <w:tc>
          <w:tcPr>
            <w:tcW w:w="2254" w:type="dxa"/>
            <w:shd w:val="clear" w:color="auto" w:fill="C1E4F5" w:themeFill="accent1" w:themeFillTint="33"/>
          </w:tcPr>
          <w:p w14:paraId="6BB4EBC5" w14:textId="2D5E2A12" w:rsidR="00DC78BF" w:rsidRPr="00727D35" w:rsidRDefault="00DC78BF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>The endpoint handles invalid orders or requests gracefully</w:t>
            </w:r>
            <w:r w:rsidR="00B13109">
              <w:rPr>
                <w:sz w:val="22"/>
                <w:szCs w:val="22"/>
              </w:rPr>
              <w:t xml:space="preserve"> (R8).</w:t>
            </w:r>
          </w:p>
        </w:tc>
        <w:tc>
          <w:tcPr>
            <w:tcW w:w="2254" w:type="dxa"/>
            <w:shd w:val="clear" w:color="auto" w:fill="C1E4F5" w:themeFill="accent1" w:themeFillTint="33"/>
          </w:tcPr>
          <w:p w14:paraId="16C5CE25" w14:textId="1D4BBB62" w:rsidR="00DC78BF" w:rsidRPr="00727D35" w:rsidRDefault="00727D35">
            <w:pPr>
              <w:rPr>
                <w:sz w:val="22"/>
                <w:szCs w:val="22"/>
              </w:rPr>
            </w:pPr>
            <w:r w:rsidRPr="00727D35">
              <w:rPr>
                <w:sz w:val="22"/>
                <w:szCs w:val="22"/>
              </w:rPr>
              <w:t xml:space="preserve">I will </w:t>
            </w:r>
            <w:r>
              <w:rPr>
                <w:sz w:val="22"/>
                <w:szCs w:val="22"/>
              </w:rPr>
              <w:t xml:space="preserve">run a unit </w:t>
            </w:r>
            <w:r w:rsidR="009F1A81">
              <w:rPr>
                <w:sz w:val="22"/>
                <w:szCs w:val="22"/>
              </w:rPr>
              <w:t xml:space="preserve">test </w:t>
            </w:r>
            <w:r w:rsidR="009F1A81" w:rsidRPr="00727D35">
              <w:rPr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 xml:space="preserve"> </w:t>
            </w:r>
            <w:r w:rsidRPr="00727D35">
              <w:rPr>
                <w:sz w:val="22"/>
                <w:szCs w:val="22"/>
              </w:rPr>
              <w:t xml:space="preserve">the </w:t>
            </w:r>
            <w:proofErr w:type="spellStart"/>
            <w:r>
              <w:rPr>
                <w:sz w:val="22"/>
                <w:szCs w:val="22"/>
              </w:rPr>
              <w:t>validateOrder</w:t>
            </w:r>
            <w:proofErr w:type="spellEnd"/>
            <w:r>
              <w:rPr>
                <w:sz w:val="22"/>
                <w:szCs w:val="22"/>
              </w:rPr>
              <w:t xml:space="preserve"> method by looping through</w:t>
            </w:r>
            <w:r w:rsidRPr="00727D35">
              <w:rPr>
                <w:sz w:val="22"/>
                <w:szCs w:val="22"/>
              </w:rPr>
              <w:t xml:space="preserve"> a large collection of pre-defined valid and invalid test orders and </w:t>
            </w:r>
            <w:r>
              <w:rPr>
                <w:sz w:val="22"/>
                <w:szCs w:val="22"/>
              </w:rPr>
              <w:t xml:space="preserve">check that the result is not an error and matches the expected </w:t>
            </w:r>
            <w:proofErr w:type="spellStart"/>
            <w:r w:rsidR="008D46EB">
              <w:rPr>
                <w:sz w:val="22"/>
                <w:szCs w:val="22"/>
              </w:rPr>
              <w:t>orderStatus</w:t>
            </w:r>
            <w:proofErr w:type="spellEnd"/>
            <w:r w:rsidR="008D46EB">
              <w:rPr>
                <w:sz w:val="22"/>
                <w:szCs w:val="22"/>
              </w:rPr>
              <w:t>.</w:t>
            </w:r>
          </w:p>
        </w:tc>
        <w:tc>
          <w:tcPr>
            <w:tcW w:w="2254" w:type="dxa"/>
            <w:shd w:val="clear" w:color="auto" w:fill="C1E4F5" w:themeFill="accent1" w:themeFillTint="33"/>
          </w:tcPr>
          <w:p w14:paraId="3D82125F" w14:textId="7C236D7B" w:rsidR="00DC78BF" w:rsidRPr="00727D35" w:rsidRDefault="00085137">
            <w:pPr>
              <w:rPr>
                <w:sz w:val="22"/>
                <w:szCs w:val="22"/>
              </w:rPr>
            </w:pPr>
            <w:r w:rsidRPr="00085137">
              <w:rPr>
                <w:sz w:val="22"/>
                <w:szCs w:val="22"/>
              </w:rPr>
              <w:t>Using a large collection of test orders provides comprehensive coverage of different invalid order scenarios. Verifying the validation results ensures that invalid orders are identified and handled correctly.</w:t>
            </w:r>
          </w:p>
        </w:tc>
        <w:tc>
          <w:tcPr>
            <w:tcW w:w="2254" w:type="dxa"/>
            <w:vMerge/>
            <w:shd w:val="clear" w:color="auto" w:fill="C1E4F5" w:themeFill="accent1" w:themeFillTint="33"/>
          </w:tcPr>
          <w:p w14:paraId="222C4E77" w14:textId="77777777" w:rsidR="00DC78BF" w:rsidRPr="00727D35" w:rsidRDefault="00DC78BF">
            <w:pPr>
              <w:rPr>
                <w:sz w:val="22"/>
                <w:szCs w:val="22"/>
              </w:rPr>
            </w:pPr>
          </w:p>
        </w:tc>
      </w:tr>
    </w:tbl>
    <w:p w14:paraId="1A8C03BC" w14:textId="77777777" w:rsidR="00093E19" w:rsidRPr="00093E19" w:rsidRDefault="00093E19">
      <w:pPr>
        <w:rPr>
          <w:u w:val="single"/>
        </w:rPr>
      </w:pPr>
    </w:p>
    <w:sectPr w:rsidR="00093E19" w:rsidRPr="0009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24151"/>
    <w:multiLevelType w:val="multilevel"/>
    <w:tmpl w:val="42A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86393"/>
    <w:multiLevelType w:val="hybridMultilevel"/>
    <w:tmpl w:val="BE1CCDBC"/>
    <w:lvl w:ilvl="0" w:tplc="234CA2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0231">
    <w:abstractNumId w:val="0"/>
  </w:num>
  <w:num w:numId="2" w16cid:durableId="1080295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19"/>
    <w:rsid w:val="00085137"/>
    <w:rsid w:val="00093E19"/>
    <w:rsid w:val="00114631"/>
    <w:rsid w:val="001964BC"/>
    <w:rsid w:val="001B516F"/>
    <w:rsid w:val="001F2D3A"/>
    <w:rsid w:val="002C4A4C"/>
    <w:rsid w:val="005265BA"/>
    <w:rsid w:val="005446F5"/>
    <w:rsid w:val="00727D35"/>
    <w:rsid w:val="008D46EB"/>
    <w:rsid w:val="009F1A81"/>
    <w:rsid w:val="00B13109"/>
    <w:rsid w:val="00C90195"/>
    <w:rsid w:val="00D06A0E"/>
    <w:rsid w:val="00DC78BF"/>
    <w:rsid w:val="00EB30C8"/>
    <w:rsid w:val="00F7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9110B"/>
  <w15:chartTrackingRefBased/>
  <w15:docId w15:val="{69663DB5-6B67-6A47-8467-DA4651A6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E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E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E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E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E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E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E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E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3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Dobbie</dc:creator>
  <cp:keywords/>
  <dc:description/>
  <cp:lastModifiedBy>Cameron Dobbie</cp:lastModifiedBy>
  <cp:revision>6</cp:revision>
  <dcterms:created xsi:type="dcterms:W3CDTF">2025-02-01T23:16:00Z</dcterms:created>
  <dcterms:modified xsi:type="dcterms:W3CDTF">2025-02-03T01:27:00Z</dcterms:modified>
</cp:coreProperties>
</file>