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2 Center for Research and Drug Development (NPDM), Federal University of Ceará, Fortaleza 60430-275, Brazil; Post-Graduate Program in Pathology, Federal University of Ceará, Fortaleza, Brazil; Post-Graduate Program in Translational Medicine, Federal University of Ceará,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Abbreviations: ANVISA, Agência Nacional de Vigilância Sanitária;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Methods. Six ANVISA documents were indexed for bilingual retrieval and answer generation. Evaluations comprised 150 internal questions (75 bilingual 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 in content. An AI judge scored answer quality and refusal. We calculated 95% percentile bootstrap confidence intervals by resampling question pairs. An AI-assisted, unblinded coauthor review covered 94 selected historical outputs.</w:t>
      </w:r>
    </w:p>
    <w:p>
      <w:pPr/>
      <w:r>
        <w:t>Results. The index contained 382 articles and 481 chunks. Among 40 originally answerable stress-assessment outputs, mean completeness was 0.943 (95% CI 0.873–0.990) and citation correctness was 0.975 (0.925–1.000). After corresponding-author adjudication, appropriate refusals in the reviewed unanswerable strata were 4/4 stress outputs and 12/12 post-calibration outputs (2/2 and 6/6 bilingual pairs; exact pair-level 95% CIs 15.8–100.0% and 54.1–100.0%). Six outputs were reclassified answerable and twelve partly answerable. These are descriptive findings from AI-assisted, unblinded author review of development assessments; independent blinded validation remains outstanding.</w:t>
      </w:r>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Drug-development decisions often begin with a narrow regulatory question. A sponsor may need to determine the documentation, notification deadlines and implementation conditions for suspending a Clinical Drug Development Dossier (DDCM) under RDC 945/2024, Articles 85 and 89 [7], and to establish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 This present-day suspension example refers to RDC 945/2024, rather than Article 50 of the revoked RDC 9/2015 used in some archived benchmark gold answers [7,8].</w:t>
      </w:r>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baseline and repair runs, the first AI-authored diagnostic stress test, and a later refusal-focused AI-authored test. This separation is important because internal scores can be inflated when the same project team writes questions, reviews errors, and repairs the system.</w:t>
      </w:r>
    </w:p>
    <w:p>
      <w:pPr/>
      <w:r>
        <w:t>Regulatory corpus. The corpus included six selected ANVISA documents covering clinical trials, biological products, medical devices, pharmacovigilance, and reliance-based review [3-8]. The selected documents concern common drug-development and health-product topics; this selection did not establish that every indexed provision was in force at evaluation. The final corpus included IN 338/2024, RDC 406/2020, RDC 55/2010, RDC 751/2022, RDC 945/2024, and RDC 9/2015. Corpus composition and use cases are summarized in Table 1.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p>
    <w:p>
      <w:pPr/>
      <w:r>
        <w:t>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r>
        <w:t>Development history and software provenance are provided in Supplementary Table S5 and the supplementary development provenance record.</w:t>
      </w:r>
    </w:p>
    <w:p>
      <w:pPr/>
      <w:r>
        <w:t>Answer generation and automated judging both requested models/gemini-flash-lite-latest, an unpinned alias. The archived records do not preserve the resolved backend model versions; the July runs therefore cannot be identified as Gemini 2.5 Flash-Lite from a documentation citation [15]. Initial answers were generated on 10 July 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 was absent. Embeddings used sentence-transformers/all-MiniLM-L6-v2 and reranking used cross-encoder/mmarco-mMiniLMv2-L12-H384-v1, with local cache snapshots recorded separately. Exact hosted-model replication is limited by the missing resolved versions.</w:t>
      </w:r>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Article chunking used LlamaIndex’s default tiktoken cl100k_base tokenizer: articles up to 500 tokens remained intact; longer articles were sentence-split with a 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 maximum of 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 tokens. Only the 35 overlength nodes changed. The cached model reproduced all 481 archived vectors (minimum cosine similarity 0.99999976). All 160 answerable development questions (80 bilingual pairs) were evaluated with original queries; offline English 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 was subsequently completed with 300 answers and 300 automated evaluations. Figure 1 shows the workflow.</w:t>
      </w:r>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r>
        <w:t>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p>
    <w:p>
      <w:r>
        <w:t>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p>
    <w:p>
      <w:pPr/>
      <w:r>
        <w:t>English retrieval used a deterministic glossary-expansion mode in the archived publication evaluator, rather than merely six illustrative anchors. This mode retains the English question, extracts regulatory identifiers and appends matched Portuguese terms from a 114-entry glossary. A separate Translator mode uses a model to rewrite into Portuguese and then appends glossary matches; its smoke-test output does not establish its use in the publication runs. The evaluator selects these modes explicitly and, in the audited glossary/original configuration, uses the original question for 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 to benchmark failures; the reused question sets are development data.</w:t>
      </w:r>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Benchmark. The constructed main benchmark contained 200 question rows organized as 100 Portuguese–English pairs: 140 direct-article questions, 20 multi-article or exception questions, and 40 unanswerable or adversarial questions. Each language had 100 rows (80 answerable and 20 unanswerable). This construction total is distinct from the evaluated sample sizes. The initial internal evaluation used 150 rows, comprising 120 answerable and 30 unanswerable questions; its 75 English and 75 Portuguese questions were reused in the respective repair stages. Across all six reported stages there were 404 outputs and 254 distinct question IDs, without implying semantic independence of those IDs. The audit recorded 78 unique gold article citations. 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Benchmark structure and archived gold source coverage are shown in Figure 2; evaluated denominators are provided in Supplementary Table S7.</w:t>
      </w:r>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Evaluation stages and leakage control. Development runs were used to identify and repair failures. 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 held-out test. Scores across these stages describe paired, within-language changes on reused development questions and do not establish generalization. When internal results became high, an AI-authored diagnostic stress test was run once to test whether the internal pattern generalized. Findings from this stress test 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was conducted after calibration and is interpreted as a diagnostic assessment within the same development programme, not independent validation.</w:t>
      </w:r>
    </w:p>
    <w:p>
      <w:pPr/>
      <w:r>
        <w:t>The first AI-authored diagnostic stress test contained 50 questions organized as 25 bilingual pairs. It included 40 answerable questions and 10 unanswerable or adversarial questions. The first AI-authored diagnostic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r>
        <w:t>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p>
    <w:p>
      <w:r>
        <w:t>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p>
    <w:p>
      <w:r>
        <w:t>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p>
    <w:p>
      <w:r>
        <w:t>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p>
    <w:p>
      <w:r>
        <w:t>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p>
    <w:p>
      <w:r>
        <w:t>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p>
    <w:p>
      <w:pPr>
        <w:pStyle w:val="Heading1"/>
      </w:pPr>
      <w:r>
        <w:t>Results</w:t>
      </w:r>
    </w:p>
    <w:p>
      <w:pPr>
        <w:pStyle w:val="Heading2"/>
      </w:pPr>
      <w:r>
        <w:t>Corpus and benchmark construction</w:t>
      </w:r>
    </w:p>
    <w:p>
      <w:pPr/>
      <w:r>
        <w:t>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p>
    <w:p>
      <w:r>
        <w:t>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p>
    <w:p>
      <w:pPr/>
      <w:r>
        <w:t>The 200-question benchmark was balanced by language and included the intended mix of regulatory question types (Figure 2). Gold evidence covered 78 unique article citations. Distinct question-row counts were 28 each for RDC 9/2015, RDC 55/2010, RDC 751/2022 and RDC 406/2020, 26 for RDC 945/2024, and 22 for IN 338/2024. A question may cite more than one regulation. The original plotting input counted source entries within questions (30 rather than 28 for each of the first four regulations); the revised figure removes these within-question duplicates. Coverage describes the archived benchmark and does not establish regulatory validity, particularly for revoked RDC 9/2015. This structure was important because high performance on direct clinical-trial questions alone would not show whether the system handled rule-plus-exception or refusal boundaries.</w:t>
      </w:r>
    </w:p>
    <w:p>
      <w:pPr>
        <w:pStyle w:val="Heading2"/>
      </w:pPr>
      <w:r>
        <w:t>Retrieval baselines and component ablations</w:t>
      </w:r>
    </w:p>
    <w:p>
      <w:pPr/>
      <w:r>
        <w:t>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p>
    <w:p>
      <w:pPr/>
      <w:r>
        <w:t>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The initial internal baseline AI-judge evaluation showed high faithfulness but weaker completeness. Among 120 answerable internal baseline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All 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 not evidence of performance on unseen questions. No paired significance test is reported. The row-level judge outputs and stage recommendations are reported in Supplementary Data S2.</w:t>
      </w:r>
    </w:p>
    <w:p>
      <w:pPr/>
      <w:r>
        <w:t>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diagnostic stress test was therefore run as a challenge to the internal pattern. Its refusal correctness of 0.700 showed that the internal 1.000 refusal result was too narrow for reliability claims. The archived AI-judge dossier records diagnostic recommendations, and subsequent refusal calibration reused stress-test content, and the saturated-metric investigation is summarized in Supplementary Table S6.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AI-authored diagnostic stress test</w:t>
      </w:r>
    </w:p>
    <w:p>
      <w:pPr/>
      <w:r>
        <w:t>The first AI-authored diagnostic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The same test exposed refusal behavior as the main remaining weakness. Literal refusal detection for unanswerable/adversarial questions was 0.600, and AI-judge refusal correctness was 7/10 (0.700; 95% pair-cluster bootstrap CI 0.300–1.000; five pairs), using the archived labels before the subsequent author adjudication reported below.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Language-specific diagnostic-test results were similar but not identical. Among answerable diagnostic-test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After the first AI-authored diagnostic stress test, refusal rules were revised using a 24-row calibration/development 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In the later refusal-focused AI-authored test, the system correctly refused 17 of 18 unanswerable questions by AI-judge scoring, giving refusal correctness 0.944 (95% pair-cluster bootstrap CI 0.833–1.000; nine pairs), using the archived labels before the subsequent author adjudication reported below. It did not over-refuse the answerable controls: answerable-control faithfulness was 1.000, citation correctness was 1.000, and completeness was 0.908 (95% CI 0.792–1.000; 12 outputs in six pairs). Figure 3B displays these descriptive results from different question sets. The post-calibration refusal score was higher, while answerable-control completeness was lower than in the first diagnostic stress test. Because the sets differ and the stress-test findings informed calibration, these contrasts do not isolate a calibration effect or establish performance on an independently authored test. The question-level judge rationales and remaining boundary failure are reported in Supplementary Data S2.</w:t>
      </w:r>
    </w:p>
    <w:p>
      <w:pPr/>
      <w:r>
        <w:t>The remaining boundary problem involved questions where the corpus contained a related general rule but not the exact requested fact. This is a regulatory risk because related evidence can sound persuasive while still being insufficient. These observations identify a remaining refusal boundary; they do not establish an independently validated improvement.</w:t>
      </w:r>
    </w:p>
    <w:p>
      <w:pPr>
        <w:pStyle w:val="Heading2"/>
      </w:pPr>
      <w:r>
        <w:t>Author verification of selected outputs</w:t>
      </w:r>
    </w:p>
    <w:p>
      <w:pPr/>
      <w:r>
        <w:t>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p>
    <w:p>
      <w:pPr/>
      <w:r>
        <w:t>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p>
    <w:p>
      <w:r>
        <w:t>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p>
    <w:p>
      <w:r>
        <w:t>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p>
    <w:p>
      <w:r>
        <w:t>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p>
    <w:p>
      <w:r>
        <w:t>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p>
    <w:p>
      <w:r>
        <w:t>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p>
    <w:p>
      <w:r>
        <w:t>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p>
    <w:p>
      <w:r>
        <w:t>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p>
    <w:p>
      <w:r>
        <w:t>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p>
    <w:p>
      <w:r>
        <w:t>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p>
    <w:p>
      <w:r>
        <w:t>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p>
    <w:p>
      <w:pPr>
        <w:pStyle w:val="Heading2"/>
      </w:pPr>
      <w:r>
        <w:t>Summary of quantitative evaluation</w:t>
      </w:r>
    </w:p>
    <w:p>
      <w:pPr/>
      <w:r>
        <w:t>Across the development path, the main metrics changed in ways that affected the project interpretation. Initial internal baseline answer completeness was 0.808 overall for answerable rows, with English completeness 0.645. After targeted English repair, the English repair set reached completeness 0.995. After Portuguese residual-quality repair, the Portuguese repair set reached completeness 0.995. The repair stages reused the English and Portuguese subsets of the initial evaluation. These results therefore quantify changes on development questions used for repair and do not provide an independent estimate of generalization.</w:t>
      </w:r>
    </w:p>
    <w:p>
      <w:pPr/>
      <w:r>
        <w:t>The first AI-authored diagnostic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later post-calibration AI-authored diagnostic assessment had refusal correctness 0.944 and answerable-control completeness 0.908. Its questions differed from the first stress test, and the calibration set reused stress-test question content; the score contrast is descriptive rather than an independent estimate of improvement.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generation and judging requested the same unpinned Gemini alias. Resolved backend versions were not archived, so exact replication and attribution of score differences solely to pipeline changes are not supported. An October 2026 preflight returned gemini-3.5-flash-lite; this does not identify the July backend or certify the model 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p>
    <w:p>
      <w:r>
        <w:t>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p>
    <w:p>
      <w:r>
        <w:t>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p>
    <w:p>
      <w:r>
        <w:t>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p>
    <w:p>
      <w:r>
        <w:t>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p>
    <w:p>
      <w:r>
        <w:t>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p>
    <w:p>
      <w:r>
        <w:t>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p>
    <w:p>
      <w:r>
        <w:t>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p>
    <w:p>
      <w:r>
        <w:t>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a subsequent replacement submission, three pairs still require replacement before freezing; no validation outputs have been generated. His coauthor role and earlier exposure prevent calling it independent external validation.</w:t>
      </w:r>
    </w:p>
    <w:p>
      <w:r>
        <w:t>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 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p>
    <w:p>
      <w:r>
        <w:t>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 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 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p>
    <w:p>
      <w:r>
        <w:t>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p>
    <w:p>
      <w:pPr/>
      <w:r>
        <w:t>The 1.000 values are therefore reported as part of the quality story, not as a claim of perfection. The initial internal set was subsequently reused for language-specific repairs and cannot serve as an independent held-out test. Internal refusal correctness reached 1.000, and some post-repair judge scores approached or reached 1.000, but those values came after benchmark construction, error review, and targeted repair. The first AI-authored diagnostic stress test challenged the saturated internal values, and its findings subsequently informed refusal calibration. Its question content also recurred in the calibration set, so it did not remain independent of subsequent development. It contradicted the internal refusal result: refusal correctness fell to 0.700 even while answerable-question retrieval and grounding remained strong. Figure 3A should therefore be read as development history, and Figure 3B as a descriptive comparison of diagnostic assessments before and after calibration on overlapping development content. The higher refusal score and lower answerable-control completeness do not establish a causal calibration effect or independent generalization. The most defensible claim is limited but useful. The system can help locate and summarize evidence in selected ANVISA documents, provided users verify the cited article and treat refusal boundaries seriously.</w:t>
      </w:r>
    </w:p>
    <w:p>
      <w:pPr/>
      <w: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a new test authored by people who have not seen the development questions, prompt, or failure review, with model and prompt settings frozen before evaluation. It should also compare the system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r>
        <w:t>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2"/>
        </w:rPr>
        <w:t>1. Lewis P, Perez E, Piktus A, et al. Retrieval-Augmented Generation for Knowledge-Intensive NLP Tasks. Advances in Neural Information Processing Systems. 2020;33:9459-9474.</w:t>
      </w:r>
    </w:p>
    <w:p>
      <w:pPr>
        <w:spacing w:after="0" w:line="240" w:lineRule="auto" w:before="0"/>
      </w:pPr>
      <w:r>
        <w:rPr>
          <w:sz w:val="22"/>
        </w:rPr>
        <w:t>2. Proestel S, Jeng LJB, Smith C, et al. Semantic Search of FDA Guidance Documents Using Generative AI. Ther Innov Regul Sci. 2025;59(5):1148-1159. doi:10.1007/s43441-025-00798-8.</w:t>
      </w:r>
    </w:p>
    <w:p>
      <w:pPr>
        <w:spacing w:after="0" w:line="240" w:lineRule="auto" w:before="0"/>
      </w:pPr>
      <w:r>
        <w:rPr>
          <w:sz w:val="22"/>
        </w:rPr>
        <w:t>3. Agência Nacional de Vigilância Sanitária. Instrução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2"/>
        </w:rPr>
        <w:t>4. Agência Nacional de Vigilância Sanitária. Resolução de Diretoria Colegiada - RDC No. 406, de 22 de julho de 2020. Good pharmacovigilance practices for holders of human medicine registrations. AnvisaLegis. Accessed 19 July 2026.</w:t>
      </w:r>
    </w:p>
    <w:p>
      <w:pPr>
        <w:spacing w:after="0" w:line="240" w:lineRule="auto" w:before="0"/>
      </w:pPr>
      <w:r>
        <w:rPr>
          <w:sz w:val="22"/>
        </w:rPr>
        <w:t>5. Agência Nacional de Vigilância Sanitária. Resolução - RDC No. 55, de 16 de dezembro de 2010. Registration of new biological products and biological products. AnvisaLegis. Accessed 19 July 2026.</w:t>
      </w:r>
    </w:p>
    <w:p>
      <w:pPr>
        <w:spacing w:after="0" w:line="240" w:lineRule="auto" w:before="0"/>
      </w:pPr>
      <w:r>
        <w:rPr>
          <w:sz w:val="22"/>
        </w:rPr>
        <w:t>6. Agência Nacional de Vigilância Sanitária. Resolução - RDC No. 751, de 15 de setembro de 2022. Medical-device risk classification, notification and registration regimes, labelling, and instructions for use. AnvisaLegis. Accessed 19 July 2026.</w:t>
      </w:r>
    </w:p>
    <w:p>
      <w:pPr>
        <w:spacing w:after="0" w:line="240" w:lineRule="auto" w:before="0"/>
      </w:pPr>
      <w:r>
        <w:rPr>
          <w:sz w:val="22"/>
        </w:rPr>
        <w:t>7. Agência Nacional de Vigilância Sanitária. Resolução da Diretoria Colegiada Anvisa No. 945, de 29 de novembro de 2024. Guidelines and procedures for clinical trials for later medicine registration. AnvisaLegis. Accessed 19 July 2026.</w:t>
      </w:r>
    </w:p>
    <w:p>
      <w:pPr>
        <w:spacing w:after="0" w:line="240" w:lineRule="auto" w:before="0"/>
      </w:pPr>
      <w:r>
        <w:rPr>
          <w:sz w:val="22"/>
        </w:rPr>
        <w:t>8. Agência Nacional de Vigilância Sanitária. Resolução RDC No. 9, de 20 de fevereiro de 2015. Regulation for clinical trials with medicines in Brazil. AnvisaLegis. Accessed 19 July 2026.</w:t>
      </w:r>
    </w:p>
    <w:p>
      <w:pPr>
        <w:spacing w:after="0" w:line="240" w:lineRule="auto" w:before="0"/>
      </w:pPr>
      <w:r>
        <w:rPr>
          <w:sz w:val="22"/>
        </w:rPr>
        <w:t>9. Gao Y, Xiong Y, Gao X, et al. Retrieval-Augmented Generation for Large Language Models: A Survey. arXiv. 2023. doi:10.48550/arXiv.2312.10997.</w:t>
      </w:r>
    </w:p>
    <w:p>
      <w:pPr>
        <w:spacing w:after="0" w:line="240" w:lineRule="auto" w:before="0"/>
      </w:pPr>
      <w:r>
        <w:rPr>
          <w:sz w:val="22"/>
        </w:rPr>
        <w:t>10. Es S, James J, Espinosa-Anke L, Schockaert S. RAGAS: Automated Evaluation of Retrieval Augmented Generation. arXiv. 2023. doi:10.48550/arXiv.2309.15217.</w:t>
      </w:r>
    </w:p>
    <w:p>
      <w:pPr>
        <w:spacing w:after="0" w:line="240" w:lineRule="auto" w:before="0"/>
      </w:pPr>
      <w:r>
        <w:rPr>
          <w:sz w:val="22"/>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2"/>
        </w:rPr>
        <w:t>12. Robertson S, Zaragoza H. The Probabilistic Relevance Framework: BM25 and Beyond. Foundations and Trends in Information Retrieval. 2009;3(4):333-389. doi:10.1561/1500000019.</w:t>
      </w:r>
    </w:p>
    <w:p>
      <w:pPr>
        <w:spacing w:after="0" w:line="240" w:lineRule="auto" w:before="0"/>
      </w:pPr>
      <w:r>
        <w:rPr>
          <w:sz w:val="22"/>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2"/>
        </w:rPr>
        <w:t>14. LlamaIndex. LlamaIndex: a data framework for LLM applications. GitHub repository. https://github.com/run-llama/llama_index. Accessed 21 July 2026.</w:t>
      </w:r>
    </w:p>
    <w:p>
      <w:pPr>
        <w:spacing w:after="0" w:line="240" w:lineRule="auto" w:before="0"/>
      </w:pPr>
      <w:r>
        <w:rPr>
          <w:sz w:val="22"/>
        </w:rPr>
        <w:t>15. Google AI for Developers. Gemini API models and GenerateContentResponse reference. https://ai.google.dev/gemini-api/docs/models; https://ai.google.dev/api/generate-content. Accessed 24 October 2026.</w:t>
      </w:r>
    </w:p>
    <w:p>
      <w:pPr>
        <w:spacing w:after="0" w:line="240" w:lineRule="auto" w:before="0"/>
      </w:pPr>
      <w:r>
        <w:rPr>
          <w:sz w:val="22"/>
        </w:rPr>
        <w:t>16. Chang Y, Wang X, Wang J, et al. A Survey on Evaluation of Large Language Models. ACM Transactions on Intelligent Systems and Technology. 2024;15(3). doi:10.1145/3641289.</w:t>
      </w:r>
    </w:p>
    <w:p>
      <w:pPr>
        <w:spacing w:after="0" w:line="240" w:lineRule="auto" w:before="0"/>
      </w:pPr>
      <w:r>
        <w:rPr>
          <w:sz w:val="22"/>
        </w:rPr>
        <w:t>17. Zheng L, Chiang WL, Sheng Y, et al. Judging LLM-as-a-Judge with MT-Bench and Chatbot Arena. Advances in Neural Information Processing Systems. 2023;36.</w:t>
      </w:r>
    </w:p>
    <w:p>
      <w:pPr>
        <w:spacing w:after="0" w:line="240" w:lineRule="auto" w:before="0"/>
      </w:pPr>
      <w:r>
        <w:rPr>
          <w:sz w:val="22"/>
        </w:rPr>
        <w:t>18. Agência Nacional de Vigilância Sanitária. Resolução da Diretoria Colegiada - RDC No. 875, de 28 de maio de 2024. Complementary requirements for registration of biosimilars through comparability. AnvisaLegis. Accessed 23 October 2026.</w:t>
      </w:r>
    </w:p>
    <w:p>
      <w:pPr>
        <w:spacing w:after="0" w:line="240" w:lineRule="auto" w:before="0"/>
      </w:pPr>
      <w:r>
        <w:rPr>
          <w:sz w:val="22"/>
        </w:rPr>
        <w:t>19. Agência Nacional de Vigilância Sanitária. Resolução - RDC No. 948, de 12 de dezembro de 2024. General sanitary requirements for regularization of human medicines. Consolidated text. AnvisaLegis. Accessed 23 October 2026.</w:t>
      </w:r>
    </w:p>
    <w:p>
      <w:pPr>
        <w:spacing w:after="0" w:line="240" w:lineRule="auto" w:before="0"/>
      </w:pPr>
      <w:r>
        <w:rPr>
          <w:sz w:val="22"/>
        </w:rPr>
        <w:t>20. Sentence Transformers. all-MiniLM-L6-v2 model card. https://huggingface.co/sentence-transformers/all-MiniLM-L6-v2. Accessed 25 October 2026.</w:t>
      </w:r>
    </w:p>
    <w:p>
      <w:pPr>
        <w:spacing w:after="0" w:line="240" w:lineRule="auto" w:before="0"/>
      </w:pPr>
      <w:r>
        <w:rPr>
          <w:sz w:val="22"/>
        </w:rPr>
        <w:t>21. Sentence Transformers. Pretrained models and multilingual models. https://sbert.net/docs/sentence_transformer/pretrained_models.html. Accessed 25 October 2026.</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