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Response to Reviewer 2</w:t>
      </w:r>
    </w:p>
    <w:p>
      <w:r>
        <w:t>Bilingual Retrieval-Augmented Access to ANVISA Regulatory Documents: A Technical Evaluation Using Drug-Development and Health-Product Questions</w:t>
      </w:r>
    </w:p>
    <w:p>
      <w:r>
        <w:t>Dear Editor and Reviewer,</w:t>
      </w:r>
    </w:p>
    <w:p>
      <w:r>
        <w:t>Thank you for the detailed assessment of our manuscript and evaluation artifacts. We have completed the Portuguese-language corrections and audits of both language-specific repair overlap and stress-test/calibration overlap. The responses below distinguish these completed corrections from the regulatory-status review, refusal-label adjudication, and human verification that remain pending.</w:t>
      </w:r>
    </w:p>
    <w:p>
      <w:pPr>
        <w:pStyle w:val="Heading1"/>
      </w:pPr>
      <w:r>
        <w:t>DR1 Evaluation validity</w:t>
      </w:r>
    </w:p>
    <w:p>
      <w:pPr>
        <w:pStyle w:val="Heading2"/>
      </w:pPr>
      <w:r>
        <w:t>Reviewer comment</w:t>
      </w:r>
    </w:p>
    <w:p>
      <w:r>
        <w:t>The main issues are: repair sets that overlap the held-out set; prospective-test items that reappear in the calibration set; a revoked regulation used as solid truth; several refusal failures that are labeling errors; and no human verification of the automated judge.</w:t>
      </w:r>
    </w:p>
    <w:p>
      <w:pPr>
        <w:pStyle w:val="Heading2"/>
      </w:pPr>
      <w:r>
        <w:t>Response on repair and held-out overlap</w:t>
      </w:r>
    </w:p>
    <w:p>
      <w:r>
        <w:t>We agree that the initial internal evaluation cannot be presented as an independent held-out test after its questions were used to guide repair. We audited both Supplementary Data S1 and S2 by question ID, pair ID, language, and exact question text. All 75 English repair questions match the 75 English questions in the initial 150-question evaluation; all 75 Portuguese repair questions similarly match its 75 Portuguese questions. Each language subset contains 60 answerable and 15 unanswerable questions. The two supplementary datasets agree on the question identities and reported judge scores.</w:t>
      </w:r>
    </w:p>
    <w:p>
      <w:r>
        <w:t>We have relabelled this set as an internal development baseline and removed the statement that the repair stages used different evaluation sets. Among the same 60 answerable English questions, mean judge completeness increased from 0.645 to 0.995; among the same 60 answerable Portuguese questions, it increased from 0.970 to 0.995. We now describe these as paired descriptive comparisons on questions used for repair, without a paired significance test or an inference of generalization. The clean and tracked manuscripts include these corrections in Materials and Methods, Internal development metrics, Summary of quantitative evaluation, and Limitations and future work. The accompanying figure legends and Supplementary Table S6 have been corrected, and revised supplementary CSVs retain the historical stage IDs and numerical outputs while correcting the stage labels and roles.</w:t>
      </w:r>
    </w:p>
    <w:p>
      <w:pPr>
        <w:pStyle w:val="Heading2"/>
      </w:pPr>
      <w:r>
        <w:t>Remaining components of DR1</w:t>
      </w:r>
    </w:p>
    <w:p>
      <w:r>
        <w:t>Author verification of 94 selected historical outputs and corresponding-author adjudication of the 18 candidate labels and references are now complete. Source/date applicability, remaining disputed rating decisions and independent blinded verification remain unresolved.</w:t>
      </w:r>
    </w:p>
    <w:p>
      <w:pPr>
        <w:pStyle w:val="Heading1"/>
      </w:pPr>
      <w:r>
        <w:t>DR2 Portuguese diacritics</w:t>
      </w:r>
    </w:p>
    <w:p>
      <w:pPr>
        <w:pStyle w:val="Heading2"/>
      </w:pPr>
      <w:r>
        <w:t>Reviewer comment</w:t>
      </w:r>
    </w:p>
    <w:p>
      <w:r>
        <w:t>The Portuguese names here and in the references have lost their diacritics (Agencia, Resolucao, Instrucao). Please restore them.</w:t>
      </w:r>
    </w:p>
    <w:p>
      <w:pPr>
        <w:pStyle w:val="Heading2"/>
      </w:pPr>
      <w:r>
        <w:t>Response</w:t>
      </w:r>
    </w:p>
    <w:p>
      <w:r>
        <w:t>Thank you for identifying this issue. We have restored Portuguese diacritics throughout the manuscript and checked the accompanying main tables and supplementary tables. The corrected forms include Agência Nacional de Vigilância Sanitária, Resolução, and Instrução. We also restored diacritics in Ceará and the Portuguese retrieval-anchor terms where applicable. These changes affect spelling only; they do not change the reported results. The clean manuscript and a separate manuscript with Word tracked changes accompany this response.</w:t>
      </w:r>
    </w:p>
    <w:p>
      <w:pPr>
        <w:pStyle w:val="Heading1"/>
      </w:pPr>
      <w:r>
        <w:t>Related detailed comment DR22</w:t>
      </w:r>
    </w:p>
    <w:p>
      <w:r>
        <w:t>The overlap identified in DR22 is confirmed by the audit above. The corrected wording explicitly identifies the reused questions and distinguishes paired development comparisons in the language-specific repair stages from comparisons between different AI-authored stress-test and refusal-focused sets. The relevant Figure 3 A and Figure 3B legends and Supplementary Table S6 are supplied as accompanying revised sources.</w:t>
      </w:r>
    </w:p>
    <w:p>
      <w:pPr>
        <w:pStyle w:val="Heading1"/>
      </w:pPr>
      <w:r>
        <w:t>Stress test and calibration overlap</w:t>
      </w:r>
    </w:p>
    <w:p>
      <w:pPr>
        <w:pStyle w:val="Heading2"/>
      </w:pPr>
      <w:r>
        <w:t>Reviewer concern</w:t>
      </w:r>
    </w:p>
    <w:p>
      <w:pPr/>
      <w:r>
        <w:t>Prospective-test items reappear in the calibration set, so the statement that the stress test was not used directly for tuning is unsupported.</w:t>
      </w:r>
    </w:p>
    <w:p>
      <w:pPr>
        <w:pStyle w:val="Heading2"/>
      </w:pPr>
      <w:r>
        <w:t>Response</w:t>
      </w:r>
    </w:p>
    <w:p>
      <w:pPr/>
      <w:r>
        <w:t>We agree. We compared the 50 stress-test rows (25 bilingual pairs) with the 24 calibration rows (12 bilingual pairs) using question IDs, literal text, normalized text, and question-content review. There were no identical IDs or literal/normalized question strings, but three bilingual question pairs were substantively equivalent: the current SUSAR electronic form, the current medical-device notification fee, and whether a notification can be valid without patient identification if the suspected medicine is named. These correspond to six rows in each set. Four additional bilingual pairs shared related content but asked narrower or differently framed questions; these were not counted as equivalent questions. The accompanying audit CSV lists the IDs, full questions, classifications and reasons. Semantic classifications are AI-assisted and have not been independently human-adjudicated.</w:t>
      </w:r>
    </w:p>
    <w:p>
      <w:pPr/>
      <w:r>
        <w:t>We have removed the claims that the stress test was not used directly for tuning and that its challenge occurred without tuning from that set. The Methods now state that the stress-test findings informed subsequent refusal-prompt development and that calibration overlapped its content. The abstract, Results, Discussion, figure legends, supplementary tables and stage labels describe diagnostic assessments within the same development programme. The initial test is now named an AI-authored diagnostic stress test.</w:t>
      </w:r>
    </w:p>
    <w:p>
      <w:pPr/>
      <w:r>
        <w:t>We also compared the later 30-row refusal-focused assessment with both earlier sets. No identical IDs or literal/normalized questions were found, and question-content review identified no substantively equivalent question pairs. This does not establish independence: the later assessment followed calibration of categories exposed during development. We therefore retain the archived refusal scores of 0.700 and 0.944 as descriptive results from different question sets, without claiming a causal calibration effect or independent validation. A new test authored by people who have not seen the development questions, prompt or failure review, with settings frozen before evaluation, remains necessary.</w:t>
      </w:r>
    </w:p>
    <w:p>
      <w:pPr/>
      <w:r>
        <w:t>The patient-identification pair has different archived answerability labels between the stress and calibration sets, although both reference answers reject the premise. The corresponding author approved classifying both stress outputs as answerable on 28 October 2026. The revised labels and references are stored separately; archived metrics remain unchanged.</w:t>
      </w:r>
    </w:p>
    <w:p>
      <w:pPr>
        <w:pStyle w:val="Heading1"/>
      </w:pPr>
      <w:r>
        <w:t>Author verification of the automated judge</w:t>
      </w:r>
    </w:p>
    <w:p>
      <w:pPr>
        <w:pStyle w:val="Heading2"/>
      </w:pPr>
      <w:r>
        <w:t>Response and completed author verification</w:t>
      </w:r>
    </w:p>
    <w:p>
      <w:pPr/>
      <w:r>
        <w:t>On 26 October 2026, coauthor H.L.R.J. completed author verification of 94 selected historical outputs (93 distinct question IDs; 50 bilingual pair IDs). The selection included all 44 originally unanswerable outputs from the stress, calibration and post-calibration stages, 40 outputs sampled by originally answerable pair ID across the six stages, and ten originally unanswerable internal-baseline outputs. The returned ratings were AI-assisted: a Claude-prepared draft was personally reviewed and approved by the coauthor, as confirmed by the corresponding author. The coauthor had seen some automated scores, reference answers or coordinator information before approval; the planned blinded initial assessment was therefore not achieved. Ratings were frozen before this descriptive comparison. Citation support and completeness were compared with judge passes at the prespecified threshold of 0.80, with 1.00 as a sensitivity check; refusal comparisons were restricted to questions classified as unanswerable by the coauthor. Partly answerable and uncertain cases were reported separately. Exploratory 95% percentile intervals used 10,000 bilingual-pair bootstrap draws, retaining selected languages and stages within each pair. This author review is not independent validation; reconstructed whole-article evidence does not establish faithfulness to the exact original retrieved context.</w:t>
      </w:r>
    </w:p>
    <w:p>
      <w:pPr/>
      <w:r>
        <w:t>The coauthor retained 40 originally answerable classifications and initially proposed changing six originally unanswerable rows to answerable and twelve to partly answerable or ambiguous; 36 remained unanswerable. The corresponding author approved these labels and reference drafts on 28 October 2026 in a separate overlay; the original benchmark remains preserved. Response appropriateness was rated yes for 78 of 94 selected outputs and no for 16; these targeted-sample counts do not estimate population accuracy. For completeness, the author and judge agreed on 38/58 applicable outputs (65.5%; exploratory 95% interval 48.2–80.9%) at the 0.80 judge threshold: 37 both passed, one both failed, 16 passed the judge but failed author review, and four showed the reverse. Restricting completeness to the 46 questions the author classified as answerable yielded 37/46 agreement (80.4%; interval 63.8–93.6%). These different denominators distinguish rating disagreement from answerability changes.</w:t>
      </w:r>
    </w:p>
    <w:p>
      <w:pPr/>
      <w:r>
        <w:t>Citation-support ratings agreed on all 44 applicable outputs, with both assessments passing every case; this all-pass result provides no discrimination and does not establish perfect citation accuracy. Refusal assessments agreed on 35/36 outputs classified as unanswerable by the author (97.2%; exploratory interval 90.9–100.0%); the remaining output was an appropriate refusal according to the author but failed the automated judge. Ratings using whole archived articles do not validate the exact generation context. Current-law status was classified as checked/applicable for 42 outputs, historical or superseded for four, and not established for 48; these are author classifications, not a completed independent legal-status audit. The review does not cover the later 300-output embedding comparison. Supplementary audit S13 preserves the ratings, provenance, comparison exclusions and unresolved adjudication records. The 94-output author verification was unblinded and AI-assisted, with prior exposure to some scores or reference information, so its agreement statistics are descriptive and may be biased toward the judge or draft. It does not replace an independent blinded assessment or establish human inter-rater reliability. Targeted selection, altered answerability classifications and reconstructed whole-article evidence further limit interpretation. Adjudication of remaining disputed ratings, source/date applicability verification and human assessment of the separate 300-output DR11 pilot remain outstanding. The AI-prepared CSV and its user-confirmed date correction are preserved separately; the raw file still says 22 October, but the corresponding author confirmed the actual review date as 26 October 2026. The earlier filename and prepared blinding do not describe the actual review. This partially addresses DR1 and the related DR14 concern through disclosed author verification, without claiming an independent blinded review.</w:t>
      </w:r>
    </w:p>
    <w:p>
      <w:pPr>
        <w:pStyle w:val="Heading1"/>
      </w:pPr>
      <w:r>
        <w:t>DR3 Actual evaluated sample sizes in the abstract</w:t>
      </w:r>
    </w:p>
    <w:p>
      <w:pPr>
        <w:pStyle w:val="Heading2"/>
      </w:pPr>
      <w:r>
        <w:t>Reviewer comment</w:t>
      </w:r>
    </w:p>
    <w:p>
      <w:pPr/>
      <w:r>
        <w:t>Please state the actual evaluated sample sizes here.</w:t>
      </w:r>
    </w:p>
    <w:p>
      <w:pPr>
        <w:pStyle w:val="Heading2"/>
      </w:pPr>
      <w:r>
        <w:t>Response</w:t>
      </w:r>
    </w:p>
    <w:p>
      <w:pPr/>
      <w:r>
        <w:t>We have replaced the constructed benchmark size in the abstract Methods with the actual evaluated denominators: 150 internal questions (75 bilingual pairs), 75 English repair outputs and 75 Portuguese repair outputs reusing the internal questions, 50 diagnostic stress questions (40 answerable and 10 unanswerable), 24 calibration questions (8 answerable and 16 unanswerable), and 30 post-calibration diagnostic questions (12 answerable and 18 unanswerable). These total 404 outputs but 254 distinct question IDs. Different IDs do not imply semantic independence, as documented by the earlier content-overlap audit. The main Methods and new Supplementary Table S7 distinguish the 200-question constructed benchmark from the evaluated rows. We also clarify that its categories are 140 direct-article, 20 multi-article/exception and 40 unanswerable questions, with 100 rows per language.</w:t>
      </w:r>
    </w:p>
    <w:p>
      <w:pPr>
        <w:pStyle w:val="Heading1"/>
      </w:pPr>
      <w:r>
        <w:t>DR4 Counts and confidence intervals in the abstract</w:t>
      </w:r>
    </w:p>
    <w:p>
      <w:pPr>
        <w:pStyle w:val="Heading2"/>
      </w:pPr>
      <w:r>
        <w:t>Reviewer comment</w:t>
      </w:r>
    </w:p>
    <w:p>
      <w:pPr/>
      <w:r>
        <w:t>Please state these sample sizes and report confidence intervals in the abstract. With n = 10, one item shifts the result by 0.10. Counts (e.g., 7/10, 17/18) would be clearer than means for binary outcomes.</w:t>
      </w:r>
    </w:p>
    <w:p>
      <w:pPr>
        <w:pStyle w:val="Heading2"/>
      </w:pPr>
      <w:r>
        <w:t>Response</w:t>
      </w:r>
    </w:p>
    <w:p>
      <w:pPr/>
      <w:r>
        <w:t>The revised abstract reports evaluated counts and confidence intervals. After corresponding-author adjudication, the reviewed unanswerable stress and post-calibration strata have author-rated appropriate refusals of 4/4 and 12/12 outputs, respectively (2/2 and 6/6 bilingual pairs; exact pair-level 95% intervals 15.8–100.0% and 54.1–100.0%). The abstract identifies AI-assisted, unblinded author review and retains the original answerable stress-output sample size for historical completeness and citation scores. Historical judge refusal scores remain in the Results with their original labels; they have not been rescored.</w:t>
      </w:r>
    </w:p>
    <w:p>
      <w:pPr/>
      <w:r>
        <w:t>We also report stress-assessment completeness of 0.943 (95% CI 0.873–0.990; 40 outputs in 20 pairs), citation correctness of 0.975 (0.925–1.000; the same 40 outputs), and post-calibration answerable-control completeness of 0.908 (0.792–1.000; 12 outputs in six pairs). Other implementation details and secondary metrics remain in the main text and the statistical audit. Supplementary Table S8 supplies the headline intervals, and the accompanying CSV retains full-precision results for all stage-specific judge metrics and available retrieval endpoints.</w:t>
      </w:r>
    </w:p>
    <w:p>
      <w:pPr/>
      <w:r>
        <w:t>These calculations preserve the original answerability labels and judge outputs. The revised abstract explicitly labels refusal counts as provisional pending human adjudication. The Methods states that the intervals reflect resampling variation conditional on the archived labels and scores; they do not capture label error, outdated-law error or judge error. Degenerate intervals for saturated endpoints do not establish population certainty. The two refusal assessments remain descriptive results from different development sets, without a causal improvement claim. We will update final denominators and estimates after documented source and disputed-label adjudication; the completed unblinded author review is reported separately. The reporting corrections for DR3 and DR4 are complete; the outstanding validity components of DR1 remain open.</w:t>
      </w:r>
    </w:p>
    <w:p>
      <w:pPr>
        <w:pStyle w:val="Heading1"/>
      </w:pPr>
      <w:r>
        <w:t>DR5 Regulatory basis of the DDCM suspension example</w:t>
      </w:r>
    </w:p>
    <w:p>
      <w:pPr>
        <w:pStyle w:val="Heading2"/>
      </w:pPr>
      <w:r>
        <w:t>Reviewer comment</w:t>
      </w:r>
    </w:p>
    <w:p>
      <w:pPr/>
      <w:r>
        <w:t>DDCM suspension example maps to gold answers from RDC 9/2015 (Art. 50), which RDC 945/2024 revoked effective 1 January 2025.</w:t>
      </w:r>
    </w:p>
    <w:p>
      <w:pPr>
        <w:pStyle w:val="Heading2"/>
      </w:pPr>
      <w:r>
        <w:t>Response</w:t>
      </w:r>
    </w:p>
    <w:p>
      <w:pPr/>
      <w:r>
        <w:t>We agree. The Introduction now anchors the present-day DDCM suspension example explicitly to RDC 945/2024, Articles 85 and 89, rather than to the historical gold answer based on RDC 9/2015, Article 50. The corpus description acknowledges that RDC 9/2015 had already been revoked when the evaluations were conducted. We do not retrospectively describe its inclusion as a planned temporal-validity experiment. The limitations now state that grounding in historical regulatory text does not establish current-law accuracy.</w:t>
      </w:r>
    </w:p>
    <w:p>
      <w:pPr/>
      <w:r>
        <w:t>This is not solely a citation correction. In the archived deadline pair COMPLEX_07_PT/EN, the expected answer gives a general notification deadline of 15 calendar days; Article 85(3) of RDC 945/2024 specifies 15 business days. Articles 85(4) and 89 distinguish immediate safety suspensions from ordinary implementation. The source audit also flags DIRECT_03_PT/EN and COMPLEX_01_PT/EN, whose archived gold answers cite Article 50 of RDC 9/2015. Article 90 contains transitional provisions for certain pending submissions, so the relevant question dates and applicability must be established rather than assumed.</w:t>
      </w:r>
    </w:p>
    <w:p>
      <w:pPr/>
      <w:r>
        <w:t>The accompanying six-row audit preserves the original questions, gold answers and citations, identifies the applicable provisions for re-authoring, and marks current-law gold correction and rescoring as pending. No generated answers, automated scores or reported metrics have been silently replaced. The manuscript example and its status qualification address DR5; the broader benchmark, source-version and results issues raised in DR6–DR8 and DR1 remain open until their question-level corrections and sensitivity analyses are completed. Howard’s blinded review pack remains unchanged.</w:t>
      </w:r>
    </w:p>
    <w:p>
      <w:pPr>
        <w:pStyle w:val="Heading2"/>
      </w:pPr>
      <w:r>
        <w:t>Official sources checked 23 October 2026</w:t>
      </w:r>
    </w:p>
    <w:p>
      <w:pPr/>
      <w:r>
        <w:t>RDC 945/2024, Articles 85, 89, 90 and 98: https://anvisalegis.datalegis.net/action/ActionDatalegis.php?acao=abrirTextoAto&amp;cod_menu=8542&amp;cod_modulo=310&amp;link=S&amp;numeroAto=00000945&amp;orgao=RDC%2FDC%2FANVISA%2FMS&amp;seqAto=000&amp;tipo=RDC&amp;valorAno=2024</w:t>
      </w:r>
    </w:p>
    <w:p>
      <w:pPr/>
      <w:r>
        <w:t>Anvisa’s official notice confirms that RDC 945/2024 entered into force on 1 January 2025: https://www.gov.br/anvisa/pt-br/assuntos/noticias-anvisa/2025/anvisa-publica-documento-de-perguntas-e-respostas-sobre-a-rdc-945-2024</w:t>
      </w:r>
    </w:p>
    <w:p>
      <w:pPr>
        <w:pStyle w:val="Heading1"/>
      </w:pPr>
      <w:r>
        <w:t>DR6 Revoked source in benchmark coverage</w:t>
      </w:r>
    </w:p>
    <w:p>
      <w:pPr>
        <w:pStyle w:val="Heading2"/>
      </w:pPr>
      <w:r>
        <w:t>Reviewer comment</w:t>
      </w:r>
    </w:p>
    <w:p>
      <w:pPr/>
      <w:r>
        <w:t>RDC 9/2015 was revoked by RDC 945/2024, which took effect on 1 January 2025. Figure 2 shows RDC 9/2015 as the gold source for 30 benchmark questions, tied for the most of any document.</w:t>
      </w:r>
    </w:p>
    <w:p>
      <w:pPr>
        <w:pStyle w:val="Heading2"/>
      </w:pPr>
      <w:r>
        <w:t>Response</w:t>
      </w:r>
    </w:p>
    <w:p>
      <w:pPr/>
      <w:r>
        <w:t>We agree that including RDC 9/2015 in the evaluated corpus and gold answers is a substantive validity concern. Article 98 of RDC 945/2024 revokes RDC 9/2015, and Anvisa identifies 1 January 2025 as the effective date. The Methods, Table 1 and revised Figure 2 now explicitly identify the revoked source. We do not retrospectively characterize its inclusion as a planned temporal-validity experiment.</w:t>
      </w:r>
    </w:p>
    <w:p>
      <w:pPr/>
      <w:r>
        <w:t>The audit also identified a counting error in the original figure. The source_evidence_counts field was incremented for each gold source/article entry, while the axis was labelled as questions. In COMPLEX_07_PT and COMPLEX_07_EN, Articles 51 and 52 both cite RDC 9/2015, giving four source entries from two question rows. Thus 30 source entries correspond to 28 distinct question rows (14 bilingual pairs), rather than 30 distinct questions. The same within-question duplication affected RDC 55/2010, RDC 751/2022 and RDC 406/2020: each has 28 distinct rows, rather than 30. RDC 945/2024 and IN 338/2024 remain at 26 and 22. Figure 2 now consistently counts each regulation once per question row and marks RDC 9/2015 as revoked; its legend explains the correction.</w:t>
      </w:r>
    </w:p>
    <w:p>
      <w:pPr/>
      <w:r>
        <w:t>The accompanying audit lists all 28 affected question IDs, archived gold citations and expected answers. Eighteen of those question IDs occur in the initial 150-row evaluation. These are exposure counts, not a completed current-law error adjudication. Archived questions, answers, judge outputs and metrics remain preserved. Date-specific re-authoring, applicability review and rescoring remain pending under DR7–DR8; the full regulatory-validity concern is not yet resolved.</w:t>
      </w:r>
    </w:p>
    <w:p>
      <w:pPr/>
      <w:r>
        <w:t>Official repeal source checked 23 October 2026: https://anvisalegis.datalegis.net/action/ActionDatalegis.php?acao=abrirTextoAto&amp;cod_menu=8542&amp;cod_modulo=310&amp;link=S&amp;numeroAto=00000945&amp;orgao=RDC%2FDC%2FANVISA%2FMS&amp;seqAto=000&amp;tipo=RDC&amp;valorAno=2024</w:t>
      </w:r>
    </w:p>
    <w:p>
      <w:pPr>
        <w:pStyle w:val="Heading1"/>
      </w:pPr>
      <w:r>
        <w:t>DR7 Present tense questions and revoked answer citations</w:t>
      </w:r>
    </w:p>
    <w:p>
      <w:pPr>
        <w:pStyle w:val="Heading2"/>
      </w:pPr>
      <w:r>
        <w:t>Reviewer comment</w:t>
      </w:r>
    </w:p>
    <w:p>
      <w:pPr/>
      <w:r>
        <w:t>Questions are phrased in the present tense; for example, 'What is the maximum deadline for filing the final report of a clinical trial after its conclusion?' has gold RDC 9/2015, Art. 69. In the internal held-out run, 19 generated answers cite RDC 9/2015.</w:t>
      </w:r>
    </w:p>
    <w:p>
      <w:pPr>
        <w:pStyle w:val="Heading2"/>
      </w:pPr>
      <w:r>
        <w:t>Response</w:t>
      </w:r>
    </w:p>
    <w:p>
      <w:pPr/>
      <w:r>
        <w:t>We agree. Present-tense wording cannot be defended as an intentionally historical test. The audit confirms 19 of 150 initial generated answers explicitly cite RDC 9/2015. Ten also have revoked gold citations and nine cite it despite gold citations naming other regulations. Together with eight gold-only rows, 27 initial outputs have revoked-source exposure in gold or generated citations. This expands the audit beyond the 18 gold-exposed rows reported under DR6.</w:t>
      </w:r>
    </w:p>
    <w:p>
      <w:pPr/>
      <w:r>
        <w:t>The final-report example requires a precise distinction. DIRECT_04_PT/EN has archived gold RDC 9/2015, Article 69, but both generated answers also cite RDC 945/2024, Article 74. Article 74(2) retains the 12-month filing deadline; Article 6(XVII) defines trial end at the last visit of the last participant worldwide or another sponsor definition expressly stated in the protocol. Therefore the example establishes an obsolete gold citation, rather than proving that the generated 12-month deadline is wrong. We provide a bilingual draft gold correction against the current provisions for human scope-and-date review. It has not been substituted into the archived benchmark.</w:t>
      </w:r>
    </w:p>
    <w:p>
      <w:pPr/>
      <w:r>
        <w:t>Other cases show why replacing citation labels is insufficient. DIRECT_09_PT describes manual submission with electronic media, whereas Article 25 of RDC945 requires electronic petitions. DIRECT_20_PT adds the historical 180-calendar-day biological DDCM rule; Article 52 specifies a different review period and conditional release by lapse of time. DIRECT_65_EN answers how the sponsor notifies Anvisa rather than how Anvisa communicates its decisions under Article 95; its archived completeness score is already zero. These are automated source comparisons, not completed human adjudications or rescored outcomes.</w:t>
      </w:r>
    </w:p>
    <w:p>
      <w:pPr/>
      <w:r>
        <w:t>The Results now distinguishes revoked gold exposure from revoked generated citations, and the limitations explicitly separates historical grounding from current-law validity. The 19-row answer audit retains each full question, generated answer, gold citation, judge score and rationale; the 27-row union audit also includes gold-only exposure. All source-status and substantive assessments remain separately documented from the historical automated scores. Howard’s blinded pack is unchanged. DR7’s factual audit and reporting correction are complete; full gold re-authoring, date-specific applicability review and rescoring remain open under DR8 and DR1.</w:t>
      </w:r>
    </w:p>
    <w:p>
      <w:pPr/>
      <w:r>
        <w:t>Official source checked 23 October 2026: RDC945/2024 Articles 6(XVII),25,52,74,90,95 and 98. https://anvisalegis.datalegis.net/action/ActionDatalegis.php?acao=abrirTextoAto&amp;cod_menu=8542&amp;cod_modulo=310&amp;link=S&amp;numeroAto=00000945&amp;orgao=RDC%2FDC%2FANVISA%2FMS&amp;seqAto=000&amp;tipo=RDC&amp;valorAno=2024</w:t>
      </w:r>
    </w:p>
    <w:p>
      <w:pPr>
        <w:pStyle w:val="Heading1"/>
      </w:pPr>
      <w:r>
        <w:t>DR8 Corpus correction and consolidated source versions</w:t>
      </w:r>
    </w:p>
    <w:p>
      <w:pPr>
        <w:pStyle w:val="Heading2"/>
      </w:pPr>
      <w:r>
        <w:t>Reviewer comment</w:t>
      </w:r>
    </w:p>
    <w:p>
      <w:pPr/>
      <w:r>
        <w:t>Supplementary Table S1 calls it an earlier clinical-trial regulation without noting revocation. Please either remove it and re-author the affected questions against RDC945/2024, or keep it as a deliberate temporal-validity test: label it revoked in the index and score answers that cite it for current-tense questions as incorrect. In either case, confirm the in-force consolidated version of every remaining regulation and record the version date.</w:t>
      </w:r>
    </w:p>
    <w:p>
      <w:pPr>
        <w:pStyle w:val="Heading2"/>
      </w:pPr>
      <w:r>
        <w:t>Response</w:t>
      </w:r>
    </w:p>
    <w:p>
      <w:pPr/>
      <w:r>
        <w:t>We agree and have selected the removal and re-authoring route for a separately versioned current-law evaluation. We will not retrospectively designate the original study as a deliberate temporal-validity experiment. The evaluated archive remains intact for reproducibility; its continued archival presence must not be read as active current-law support. Table 1, the revised Figure 2 and the replacement corpus table for Supplementary Information File 1 explicitly mark RDC9/2015 as revoked. The latter replaces the original earlier clinical-trial regulation note and supplies clean and tracked table files. The original July source manifest already noted revocation, but that status was not carried through consistently into the manuscript and gold answers.</w:t>
      </w:r>
    </w:p>
    <w:p>
      <w:pPr/>
      <w:r>
        <w:t>The source review extends beyond RDC9/2015. Official consolidated texts checked on 23 October 2026 show that 18 constructed-benchmark rows cite wholly revoked RDC55/2010 articles:9,15,18,27,30,43,46 or 49. These arise from nine bilingual pairs. Together with 28 RDC9/2015 rows, 46 of 200 rows (23 pairs) have explicit whole-article or whole-regulation gold exposure. RDC875/2024 repealed Articles 19 and 27 and Chapter V of RDC55, effective 17 June 2024; RDC948/2024 repealed further provisions, effective 1 January 2025. The full affected-ID list and a screen of all 78 unique gold article citations accompany this response. Partly amended items and cross-references remain separately flagged rather than classified as valid by default.</w:t>
      </w:r>
    </w:p>
    <w:p>
      <w:pPr/>
      <w:r>
        <w:t>Supplementary Table S9 and the source-version CSV record all six original sources, official URLs, access date, observed amending acts and review limits. IN338 includes IN345/2025 changes; RDC751 includes RDC777/2023 changes; RDC406 includes the repeal of Article 50(III) by RDC718/2022. The RDC55 metadata page and its full consolidated text do not expose identical amendment detail, so status verification uses the full text and amending acts rather than the metadata label alone. The date of access is not represented as the historical corpus freeze date or a certificate that no later act exists.</w:t>
      </w:r>
    </w:p>
    <w:p>
      <w:pPr/>
      <w:r>
        <w:t>We prepared 28 bilingual replacement candidates for all 14 RDC9/2015 parent pairs, with explicit RDC945 applicability, current provisions, parent-ID lineage and blank human approval fields. Three pairs are explicitly reframed: DIRECT06 replaces the historical import-arrival checklist with the DI and preapproval-storage rules; DIRECT09 replaces manual submission with electronic submission; DIRECT11 replaces a historical participant-notification question with a current investigator-care question. They are replacement development items, not equivalent questions or an independent unseen test. The 18 biological-product rows remain in the re-authoring queue; no unchecked complete replacement benchmark has been declared ready.</w:t>
      </w:r>
    </w:p>
    <w:p>
      <w:pPr/>
      <w:r>
        <w:t>DR8 remains open. The proposed current-law corpus manifest is inactive: complete source snapshots and checksums, removal of historical wording from active chunks, human date-and-scope approval, the biological-product replacements, index rebuilding and fresh generation/evaluation remain to be completed. No current-law performance result or corrected aggregate has been invented. Historical source files, question-level answers and scores are unchanged, and Howard’s existing blinded output-review pack is unchanged. His output review and approval of the new gold answers are separate tasks.</w:t>
      </w:r>
    </w:p>
    <w:p>
      <w:pPr/>
      <w:r>
        <w:t>Official sources checked 23 October 2026: RDC55 consolidated, RDC875 Articles 11–12, RDC948 Articles 59–60 (including observed RDC991/2025 amendments), and the remaining consolidated source URLs in Supplementary Table S9. https://anvisalegis.datalegis.net/action/ActionDatalegis.php?acao=abrirTextoAto&amp;cod_menu=8542&amp;cod_modulo=310&amp;link=S&amp;numeroAto=00000055&amp;orgao=RDC%2FDC%2FANVISA%2FMS&amp;seqAto=000&amp;tipo=RDC&amp;valorAno=2010</w:t>
        <w:br/>
        <w:t>https://anvisalegis.datalegis.net/action/ActionDatalegis.php?acao=abrirTextoAto&amp;cod_menu=8542&amp;cod_modulo=310&amp;link=S&amp;numeroAto=00000875&amp;orgao=RDC%2FDC%2FANVISA%2FMS&amp;seqAto=000&amp;tipo=RDC&amp;valorAno=2024</w:t>
        <w:br/>
        <w:t>https://anvisalegis.datalegis.net/action/ActionDatalegis.php?acao=abrirTextoAto&amp;cod_menu=8542&amp;cod_modulo=310&amp;link=S&amp;numeroAto=00000948&amp;orgao=RDC%2FDC%2FANVISA%2FMS&amp;seqAto=000&amp;tipo=RDC&amp;valorAno=2024</w:t>
      </w:r>
    </w:p>
    <w:p>
      <w:r>
        <w:br w:type="page"/>
      </w:r>
    </w:p>
    <w:p>
      <w:pPr>
        <w:pStyle w:val="Heading1"/>
      </w:pPr>
      <w:r>
        <w:t>DR8 additional source provenance investigation</w:t>
      </w:r>
    </w:p>
    <w:p>
      <w:r>
        <w:t>We investigated whether cleaning removed the missing amendment or revocation notices. All six raw and cleaned file pairs match the July source manifest checksums, and the archived cleaner reproduces every cleaned file byte for byte. The saved RDC 55/2010 source already lacks the later amendment notices, while amendment and revocation notices present in IN 338/2024, RDC 751/2022 and RDC 406/2020 survive cleaning. RDC 945/2024 Article 98 explicitly repealing RDC 9/2015 also remains in the cleaned corpus; the July source manifest separately notes the revocation. The evidence therefore points to heterogeneous saved source versions and failure to propagate and reconcile legal-status information, rather than demonstrated removal of the missing notices during cleaning. Our citation and grounding checks did not establish temporal legal applicability. The accompanying extraction audit records the checksums, reproduction results and limitations. This explanation does not resolve DR8: gold re-authoring, human approval, consolidated-source capture, index rebuilding and fresh evaluation remain pending.</w:t>
      </w:r>
    </w:p>
    <w:p>
      <w:r>
        <w:br w:type="page"/>
      </w:r>
    </w:p>
    <w:p>
      <w:pPr>
        <w:pStyle w:val="Heading1"/>
      </w:pPr>
      <w:r>
        <w:t>DR8 reevaluation status and negative findings</w:t>
      </w:r>
    </w:p>
    <w:p>
      <w:r>
        <w:t>Following author authorization, we rescreened all 404 archived outputs for citations to RDC9/2015 and the identified wholly revoked RDC55/2010 articles. The screen flagged 77 outputs (35/150 initial,21/75 English repair,21/75 Portuguese repair);71 had archived citation-correctness score 1.0. These counts indicate source-status exposure and score overlap, not completed human error adjudication. No answer-citation flags were found in the 104 S4–S6 outputs under this limited screen, which does not establish current-law correctness. We captured the complete displayed RDC945 source and attached frozen evidence to 28 clinical replacement drafts. Fresh generation and judging have not run: the saved Google credential is rejected and requires secure replacement. We retain this operational failure in the record rather than present a completed reevaluation.</w:t>
      </w:r>
    </w:p>
    <w:p>
      <w:r>
        <w:t>Our hypothesis register includes negative and inconclusive findings. Missing notices were absent in saved inputs; cleaning-loss causation was not demonstrated. Some sources retained later amendments, contradicting a uniformly stale-corpus explanation. Revocation information existed in RDC945 and the source manifest, contradicting the claim that it was unavailable. Matching corpus citations was not sufficient to establish current legal validity. The unchanged 12-month final-report deadline contradicts the blanket claim that every old-source answer has the wrong substantive deadline. Transitional applicability remains case dependent, and unflagged rows are not certified correct. DR8 remains open pending biological-product gold revision, human regulatory adjudication, full corpus preparation and a fresh run. We distinguish author approval to proceed from completed human review.</w:t>
      </w:r>
    </w:p>
    <w:p>
      <w:r>
        <w:br w:type="page"/>
      </w:r>
    </w:p>
    <w:p>
      <w:pPr>
        <w:pStyle w:val="Heading1"/>
      </w:pPr>
      <w:r>
        <w:t>DR8 fresh clinical pilot</w:t>
      </w:r>
    </w:p>
    <w:p>
      <w:r>
        <w:t>After secure credential replacement, we completed a fresh exploratory clinical-only run of 28 revised questions (14 bilingual pairs) against the captured RDC 945 text. The run produced 0 operational errors, 4 detected refusals and 16 rows with a defined negative or partial flag. We retain every result without post-score answer patching. The accompanying report provides question-level evidence, automated scores and conditional pair-cluster confidence intervals. The model alias now resolves to gemini-3.5-flash-lite in preflight; its July backend was not pinned. Changed questions, a restricted corpus and the model-version uncertainty prevent a causal before/after claim. The pilot is development evidence and does not complete DR8 or replace human regulatory review. The prior rejected-credential attempt and all negative or inconclusive hypotheses remain in the revision record.</w:t>
      </w:r>
    </w:p>
    <w:p>
      <w:r>
        <w:br w:type="page"/>
      </w:r>
    </w:p>
    <w:p>
      <w:pPr>
        <w:pStyle w:val="Heading1"/>
      </w:pPr>
      <w:r>
        <w:t>DR8 biological product replacement drafts</w:t>
      </w:r>
    </w:p>
    <w:p>
      <w:r>
        <w:t>We have now prepared all 18 biological-product replacement rows in nine bilingual pairs, bringing the explicitly versioned replacement set to 46 rows. The replacements are not simple citation substitutions or an independent test. They either preserve a comparability concept with the current RDC 875 provision or deliberately reframe the question under RDC 948 or RDC 945. The row-level lineage and change type make these differences explicit. Complete displayed official RDC 875 and RDC 948 text snapshots were captured on 24 October 2026; the RDC 948 snapshot includes the displayed RDC 991/2025 amendments. Each draft includes its relevant frozen article evidence and blank human approval fields. The manuscript limitations now distinguish completed draft preparation from pending regulatory review and evaluation.</w:t>
      </w:r>
    </w:p>
    <w:p>
      <w:r>
        <w:t>The new questions explicitly scope general requirements and the biosimilar pathway. They do not silently generalize biosimilar-specific study waivers to every biological product or treat the expired-registration evidence provision as a direct replacement for the old reapplication rule. A lexical duplicate screen is supplied, but semantic overlap and deliberate lineage reuse prevent independence claims. Source snapshots are rendered official text, not a certification that every latest amendment or cross-reference has been exhaustively reviewed. The full current-law corpus has not been rebuilt, and no biological-product performance scores have been generated. DR8 remains open pending human date-and-scope review, gold completeness approval, remaining source-version and cross-reference checks and full-corpus evaluation. Howard’s existing blinded pack remains unchanged; the new gold review is a separate review task.</w:t>
      </w:r>
    </w:p>
    <w:p>
      <w:r>
        <w:t>We have also captured all seven displayed source texts for the candidate corpus, with checksums, and excluded RDC 9/2015 entirely. Twenty-seven articles explicitly marked wholly revoked in the captured sources (26 from RDC 55 and one from RDC 751) are excluded from the candidate article text. All replacement gold article labels and all article labels in the remaining 154 original rows are present after these exclusions; this is a citation-presence check only. Partial repeals, current substantive wording, category applicability and necessary cross-referenced rules remain subject to review. The candidate corpus is inactive and has not been used for a full evaluation.</w:t>
      </w:r>
    </w:p>
    <w:p>
      <w:r>
        <w:br w:type="page"/>
      </w:r>
    </w:p>
    <w:p>
      <w:pPr>
        <w:pStyle w:val="Heading1"/>
      </w:pPr>
      <w:r>
        <w:t>DR9 development history attribution and AI assistance</w:t>
      </w:r>
    </w:p>
    <w:p>
      <w:r>
        <w:t>We moved the development-history paragraph out of main Methods into the supplementary development provenance record, retaining a short pointer in Methods. The project author confirmed that the three course notebooks and the src_RAG_Shenia reference implementation were their own work. The earlier borrowed-source wording was therefore misleading and has been corrected in Supplementary Table S5. Recovery of the project archive is described as file provenance, not third party authorship. Imported software packages remain identified separately as dependencies.</w:t>
      </w:r>
    </w:p>
    <w:p>
      <w:r>
        <w:t>We added an explicit AI-assistance disclosure covering OpenAI Codex contributions to coding, audits, analysis scripts, manuscript drafting and revision, and preparation of documents and figures from inspectable project data. Historical assistant model versions and complete usage metadata were not consistently recorded; we disclose that limit rather than invent versions. AI assistance is not described as independent human verification. The source audit records the author clarification and file checksums. The limited function comparison is reported only as a structural observation and does not establish ownership or licensing; the ownership correction rests on the author’s direct confirmation.</w:t>
      </w:r>
    </w:p>
    <w:p>
      <w:r>
        <w:br w:type="page"/>
      </w:r>
    </w:p>
    <w:p>
      <w:pPr>
        <w:pStyle w:val="Heading1"/>
      </w:pPr>
      <w:r>
        <w:t>DR10 model versions run dates and judge independence</w:t>
      </w:r>
    </w:p>
    <w:p>
      <w:r>
        <w:t>We agree that the automated judge is not independent: generation and judging requested the same unpinned Gemini alias. We now state this directly in Methods and Limitations. Different run dates and missing resolved versions prevent us from asserting identical weights, but do not make this an external evaluator. We report the original answer dates, repair/rejudge dates, and merged-artifact provenance in Supplementary Table S10 and accompanying machine-readable audits. Initial answers date from 10 July 2026 and initial judging from 14 July; English repairs date from 17 July; Portuguese final artifacts combine baseline records with 18 July replacements/rejudges; diagnostic and calibration outputs date from 18 July. Stored timestamps lacked timezone metadata, which we disclose.</w:t>
      </w:r>
    </w:p>
    <w:p>
      <w:r>
        <w:t>The audit examined 51 run/merge manifests and 190 JSON/JSONL artifacts across the publication repository and recovered ancestor. No resolved model-version field was recovered. We therefore cannot honestly identify the July backend as Gemini 2.5 Flash-Lite and have replaced the model-specific Reference 15 with the general Google model/API response documentation. A 24 October preflight returned gemini-3.5-flash-lite; this is reported only as preflight evidence, not as a reconstruction of July or proof of every pilot-call backend. We have added explicit prospective model/version-capture requirements without claiming they were applied retroactively. This addresses the reporting and independence statements, but the requested historical resolved versions remain unavailable in the inspected archives. DR10 retains that unresolved reproducibility limitation; no missing versions or human agreement results have been invented.</w:t>
      </w:r>
    </w:p>
    <w:p>
      <w:r>
        <w:br w:type="page"/>
      </w:r>
    </w:p>
    <w:p>
      <w:pPr>
        <w:pStyle w:val="Heading1"/>
      </w:pPr>
      <w:r>
        <w:t>DR11 tokenizers and embedding truncation</w:t>
      </w:r>
    </w:p>
    <w:p>
      <w:r>
        <w:t>We agree that the original token units were ambiguous. The 500-token article threshold, 400-token splitting target, 60-token overlap and reported chunk lengths refer to tiktoken cl 100 k_base, obtained through LlamaIndex’s default tokenizer. They are not MiniLM WordPiece counts. Heading context is prepended after splitting, explaining why the final chunk maximum can exceed the article threshold. We now identify these units explicitly.</w:t>
      </w:r>
    </w:p>
    <w:p>
      <w:r>
        <w:t>The model snapshot contains a SentenceTransformer default of 256, but the configured LlamaIndex HuggingFaceEmbedding path explicitly passes max_length=512 to AutoTokenizer with truncation enabled and loads AutoModel directly. The model configuration supports 512 positions. This does not establish equivalent embedding quality for longer inputs. Re-tokenizing all 481 saved node texts with the cached WordPiece tokenizer, including special tokens, identified 182 above 256 and 35 above 512 (7.3%); the maximum was 866. Every stored chunk count was reproduced with cl 100 k_base. Thus, the claim that 503 chunk tokens imply no embedding truncation would be incorrect. The 35 inputs would be truncated under the recorded settings, while the saved node text itself remains intact.</w:t>
      </w:r>
    </w:p>
    <w:p>
      <w:r>
        <w:t>Supplementary audit S11 and the node-level CSV document the reconstruction, tokenizer/model hashes, inspected wrapper and package versions. This is not a recovery of historical tokenization traces or proof of each vector’s provenance. We have added the truncation and untested 512-token override as limitations, and have not altered historical embeddings, answers or metrics. The separately versioned retrieval and answer comparisons reported below now measure downstream sensitivity without altering the historical index.</w:t>
      </w:r>
    </w:p>
    <w:p>
      <w:r>
        <w:br w:type="page"/>
      </w:r>
    </w:p>
    <w:p>
      <w:pPr>
        <w:pStyle w:val="Heading1"/>
      </w:pPr>
      <w:r>
        <w:t>DR11 retrieval sensitivity analysis</w:t>
      </w:r>
    </w:p>
    <w:p>
      <w:r>
        <w:t>We have now measured retrieval sensitivity rather than leaving the truncation concern as an untested possibility. The cached model and configured CLS pooling reproduced all 481 archived document vectors to numerical precision (minimum cosine similarity 0.99999976). We held node IDs, full node text, query vectors, lexical retrieval and fusion settings fixed. For the 35 overlength nodes only, we replaced the prefix embedding with a normalized, payload-length-weighted average of normalized embeddings from nonoverlapping windows of at most 510 payload WordPieces plus special tokens. This restores token coverage while preserving the node universe, but also changes the representation; it is a mitigation comparison, not an isolated causal estimate of truncation.</w:t>
      </w:r>
    </w:p>
    <w:p>
      <w:r>
        <w:t>The primary comparison used all 160 answerable development rows (80 bilingual pairs), original queries and archived gold citations. Dense article Recall@5 changed from 0.296875 to 0.303125. Hybrid candidate Recall@5 changed from 0.462500 to 0.478125, a difference of 0.015625 (95% paired bilingual-cluster bootstrap interval −0.012500 to 0.043750). Four rows improved, two worsened and 154 were unchanged. Hybrid candidate Recall@100 stayed at 0.862500 overall, with one improved and one worsened row. Thus we do not claim that truncation explains the earlier failures or that the alternative yields a consistent overall improvement.</w:t>
      </w:r>
    </w:p>
    <w:p>
      <w:r>
        <w:t>Prespecified sensitivity checks retained original English questions plus the offline glossary expansion, and separately tested a 256-token document cap. With glossary expansion, full-coverage pooling changed hybrid candidate Recall@5 from 0.556250 to 0.562500 (difference 0.006250; interval −0.018750 to 0.031250), with three gains and two losses. The 256-token setting also produced mixed changes across endpoints; all are retained in the accompanying summary and question-level results. We did not select or deploy a setting based on these reused development questions. These are candidate-stage results; the subsequent final-reranking and answer comparison is reported below and does not replace historical metrics. Gold validity and human review remain separate unresolved issues.</w:t>
      </w:r>
    </w:p>
    <w:p>
      <w:r>
        <w:t>The clean and tracked manuscript, Supplementary audit S11 addendum, machine-readable rankings, vectors, reproduction checks, fixed protocol and hypothesis register have been updated. No historical index, answer, gold label or original score has been overwritten.</w:t>
      </w:r>
    </w:p>
    <w:p>
      <w:r>
        <w:br w:type="page"/>
      </w:r>
    </w:p>
    <w:p>
      <w:pPr>
        <w:pStyle w:val="Heading1"/>
      </w:pPr>
      <w:r>
        <w:t>DR11 final reranking and completed answer comparison</w:t>
      </w:r>
    </w:p>
    <w:p>
      <w:r>
        <w:t>We extended the sensitivity analysis through the original final retrieval pipeline on a fixed enriched sample: all 30 answerable questions (15 bilingual pairs) whose archived gold labels intersect an overlength node, plus 20 gold-unaffected control questions (10 bilingual pairs) selected with seed 20261025. We used frozen original-query candidate rankings, the cached cross-encoder with maximum length 512, and the unchanged anchor, article deduplication, neighbor and sibling-expansion functions. Gold-unaffected controls were not assumed to have unchanged contexts.</w:t>
      </w:r>
    </w:p>
    <w:p>
      <w:r>
        <w:t>Final contexts and answer prompts changed for 6 of 30 affected questions and 4 of 20 controls; 40 of 50 prompts were byte-identical. In the affected stratum, final article Recall@5 rose from 0.8000 to 0.8333, representing one gain and no losses. Controls remained at 0.8000. This demonstrates a route by which the representation change can reach the generator for ten selected questions, but is not evidence of an answer-quality improvement.</w:t>
      </w:r>
    </w:p>
    <w:p>
      <w:r>
        <w:t>The three-repeat paired answer pilot was completed on 25–26 October 2026: 300 answers and 300 automated evaluations were obtained for the 50 questions. Mean automated completeness in the 30 affected-gold questions changed from 0.5900 to 0.6167 (paired difference +0.0267; 95% interval -0.0267 to +0.0989); controls changed from 0.7983 to 0.8133 (paired difference +0.0150; 95% interval -0.0150 to +0.0600). The interval spans zero, so this pilot does not demonstrate a consistent completeness improvement. Affected-question means improved in 2 questions, worsened in 3 and were unchanged in 25. Across the 40 questions with identical prompts, completeness changed from 0.7117 to 0.7200 (paired difference +0.0083; 95% interval -0.0175 to +0.0390), showing that between-condition score differences can occur without a context change. These results remain conditional on the archived gold and same-model automated judge; no human verification or current-law validation is claimed. Supplementary audit S11 answer addendum retains all outcomes, regressions and failures. We retained prompt hashes, returned versions, UTC timestamps, response metadata and all failed attempts. The 15-request-per-minute limit was handled by shared pacing; the daily-quota interruption was resolved by resuming on 26 October and reusing saved exact-prompt successes. No missing scores were imputed. The targeted answer comparison used all 30 affected-gold questions (15 bilingual pairs) and 20 seeded gold-unaffected controls (10 pairs), with three generations per condition, giving 300 answers and 300 automated evaluations. The fixed randomized plan, original QA prompts, citation-repair policy and judge rubric were retained. Every successful call returned modelVersion gemini-3.5-flash-lite; generation temperature was 0.2 and judge temperature 0. Scores were masked to condition labels. The primary endpoint was the full-coverage minus prefix mean automated completeness in the affected stratum, averaging three repeats per question before 10,000 bilingual-pair bootstrap resamples. Secondary and subgroup analyses were exploratory without multiplicity adjustment. Provider quota interruption required resumption on the following day; successful exact-prompt responses were reused, without regenerating completed calls. Intervals condition on the three observed repeats and the archived gold and do not estimate independent human agreement or isolate temporal provider variation.</w:t>
      </w:r>
    </w:p>
    <w:p>
      <w:r>
        <w:t>The largest question-level gain was DIRECT_37_EN: automated completeness changed from 0.0000 to 0.9667 after RDC 406/2020 Art. 30 entered the retrieved context. DIRECT_33_EN worsened from 0.2000 to 0.0000 despite a changed context. Its question asks about revalidation, whereas the newly retrieved Art. 14 text describes registration; source applicability requires adjudication. Refusal outputs received automated citation scores of both 0 and 1. For DIRECT_37_EN, one judge rationale acknowledged missing retrieved detail while penalizing refusal because the broader corpus was answerable. These observations flag evidence-scope and scoring-consistency concerns; no labels were corrected or human ratings inferred.</w:t>
      </w:r>
    </w:p>
    <w:p>
      <w:r>
        <w:t>A post hoc mechanism audit of the ten changed contexts found five questions with byte-identical gold-labelled passages retained and automated completeness 1.000 in both conditions, three with the gold label absent and refusals in both conditions, one retrieval-associated gain (DIRECT_37_EN), and one decline from a generic statement to refusal (DIRECT_33_EN). In the latter case, the revalidation gold article was absent in both conditions; a newly retrieved registration article does not establish that the refusal was inappropriate. Across 58 groups of byte-identical judge prompts (189 evaluations), five groups produced different numerical scores: two differed in completeness and three in citation correctness. All used temperature zero and returned the same modelVersion. This confirms observed scoring variability on fixed inputs without identifying its cause or estimating a population error rate. The primary paired result is retained unchanged; Supplementary audit S11 mechanism addendum reports the cases and influence checks.</w:t>
      </w:r>
    </w:p>
    <w:p>
      <w:r>
        <w:t>The judge’s refusal rubric uses whole-corpus answerability, whereas the generator is instructed to refuse when its retrieved context is insufficient. In the new 300-output pilot, 89 outputs were refusals and 50 of those had no archived gold citation label in context. Gold-label absence is a retrieval proxy, not an adjudication of passage sufficiency. A low completeness score measures failure to deliver the reference information; it does not establish unsafe refusal behavior. All 300 automated faithfulness scores were 1.000, including the 89 refusals, so that endpoint did not discriminate among these outputs. Human evidence-sufficiency and source-applicability review remains pending. English questions also received the exact Portuguese refusal sentence in 22 of 150 outputs (11 per condition), directly from generation rather than repair or wrapper fallback; this exact-string screen does not count every possible language mismatch.</w:t>
      </w:r>
    </w:p>
    <w:p>
      <w:r>
        <w:t>The small positive affected-stratum mean is sensitive to the DIRECT_37 bilingual pair. A post hoc leave-pair-out diagnostic gives a completeness difference of -0.0036 (95% bilingual-cluster interval -0.0321 to +0.0286; 28 questions, 14 pairs). This is an influence diagnostic, not a replacement primary estimate or a basis for excluding that pair. The primary +0.0267 estimate and its original interval are unchanged. Of the 40 questions with identical generation prompts, 30 produced different answer strings across the six calls and five had nonzero between-condition mean completeness differences. These observations separate generator variability from the fixed-input judge variability above; neither proves provider drift.</w:t>
      </w:r>
    </w:p>
    <w:p>
      <w:r>
        <w:t>Four non-refusal outputs failed the strict citation parser because their brackets combined article numbers or included paragraph suffixes; their automated citation-correctness scores were all 1.000. We preserve both measurements and flag claim support separately rather than converting format normalization into legal validation. We prepared an additional condition-masked subset of 64 outputs from the existing 300-output packet: all 60 outputs from the changed-context questions plus four representatives of otherwise-unrepresented discordant judge-input groups. Ratings remain blank, the packet has not been sent, and Howard’s original 94-output packet is unchanged. No new generation, judge call, gold relabelling or score correction was performed for this audit.</w:t>
      </w:r>
    </w:p>
    <w:p>
      <w:r>
        <w:br w:type="page"/>
      </w:r>
    </w:p>
    <w:p>
      <w:pPr>
        <w:pStyle w:val="Heading1"/>
      </w:pPr>
      <w:r>
        <w:t>DR12 retrieval baselines and component ablations</w:t>
      </w:r>
    </w:p>
    <w:p>
      <w:r>
        <w:t>We agree that a composite retrieval result cannot establish what individual components contribute. We have now run fixed-data retrieval baselines and ablations across all 160 answerable development rows (80 bilingual pairs), using unchanged corpus text, node identities, gold citations, candidate limits and offline English glossary queries. We separately report raw node rankings and citation-diversified rankings so that repeated chunks do not confound like-for-like component comparisons. The original full-on reranking method is reproduced exactly by the parameterized ablation path for every question, and BM25/dense fusion reproduces the saved input rankings. No answering model or judge was called.</w:t>
      </w:r>
    </w:p>
    <w:p>
      <w:r>
        <w:t>In the new fixed-data comparison, citation-diversified BM25 article Recall@5 was 0.6969, the implemented CLS-pooled dense baseline 0.3344, and reciprocal-rank fusion 0.5687. Reranking without anchors or neighbor expansion yielded 0.9500; restoring query-anchor text yielded 0.9563, restoring article/lexical anchor rules yielded 0.9688, and the full pipeline yielded 0.9875. The paired reranker contribution relative to fusion was +0.3812 (95% interval +0.2969 to +0.4656); the neighbor-expansion contrast was +0.0187 (95% interval +0.0000 to +0.0437). With the full downstream rules retained, BM25-only candidates yielded 0.9875 and dense-only candidates 0.9094; adding dense candidates to the BM25 full pipeline changed recall by +0.0000 (95% interval -0.0187 to +0.0187). The equal mean for BM25 with full rules and the hybrid pipeline conceals one question gained and one lost when dense candidates were added; their paired interval spans zero. There is no demonstrated incremental mean Recall@5 benefit from the dense branch in this fixed comparison, without an equivalence claim. These are article-level retrieval comparisons, not answer-quality results.</w:t>
      </w:r>
    </w:p>
    <w:p>
      <w:r>
        <w:t>The same-checkpoint mean-pooling diagnostic yielded dense Recall@5 0.3531 and fused Recall@5 0.6031; the dense contrast against implemented CLS pooling was +0.0187 (95% interval -0.0656 to +0.1000). The diagnostic changes the embedding representation, not language coverage. Supplementary Table S12 reports all conditions, language strata, paired gains and regressions. The results do not by themselves identify a preferred multilingual encoder or establish that the full pipeline is optimal.</w:t>
      </w:r>
    </w:p>
    <w:p>
      <w:r>
        <w:t>The model card prescribes mean pooling, whereas the archived wrapper used CLS pooling; the diagnostic therefore checks an implementation choice and does not demonstrate multilingual adequacy. We now state this in Methods and distinguish language-stratified results from a true multilingual-encoder comparison. All paired contrasts, unfavorable changes and uncertain intervals are retained. The new results are exploratory, conditional on reused development questions and archived gold, with bilingual-cluster intervals rather than independent validation claims.</w:t>
      </w:r>
    </w:p>
    <w:p>
      <w:r>
        <w:t>DR12 is partially addressed. We have not performed the no-retrieval LLM answer baseline, live AnvisaLegis keyword-search comparison or replacement multilingual-encoder experiment. The manuscript explicitly lists these omissions, identifies a documented multilingual candidate without claiming it was tested, and makes no claim that the current pipeline or encoder is optimal. The separate DR11 answer pilot is now complete and reported above; its same-model scoring and pending human-review limitations remain.</w:t>
      </w:r>
    </w:p>
    <w:p>
      <w:r>
        <w:br w:type="page"/>
      </w:r>
    </w:p>
    <w:p>
      <w:pPr>
        <w:pStyle w:val="Heading1"/>
      </w:pPr>
      <w:r>
        <w:t>DR1 and DR14 review findings and remaining adjudication</w:t>
      </w:r>
    </w:p>
    <w:p>
      <w:r>
        <w:t>The returned 94-row file matched all 94 prepared IDs exactly once and preserved every original question and answer. No rating fields or reasons were missing and all codes were valid. Every row retained its Claude-draft provenance. The corresponding author confirmed Howard’s personal approval of all rows, the 26 October review date and prior exposure to some scores, reference answers or coordinator information. Accordingly, we do not claim that the planned blinded review was completed.</w:t>
      </w:r>
    </w:p>
    <w:p>
      <w:r>
        <w:t>The corresponding author approved all 18 candidate label changes and reference drafts on 28 October 2026: six answerable and twelve partly answerable outputs across nine bilingual pairs. The 94-output sample covers all 44 originally unanswerable outputs in those stages, but only a selected subset of other outputs; no corrected 404-output accuracy estimate has been extrapolated. Other completeness disagreements and unresolved source status remain open, with original author ratings preserved separately from the completed 18-row label decisions.</w:t>
      </w:r>
    </w:p>
    <w:p>
      <w:r>
        <w:t>The source-grounded and citation-supported fields were Y for 44 applicable outputs and NA for 50. This assesses the supplied whole archived articles and does not validate the exact evidence seen by the generation model or historical judge. We report threshold 1.00 sensitivity, stage/language/cohort denominators and exclusions in the supplement. Cohen kappa is omitted when either assessment has constant marginal ratings; otherwise it is descriptive and does not establish independence. Perfect citation agreement and degenerate bootstrap intervals are not population guarantees.</w:t>
      </w:r>
    </w:p>
    <w:p>
      <w:r>
        <w:t>The blinded human-verification concern therefore remains only partially addressed. AI-assisted, unblinded author verification has been performed and disclosed; independent blinded verification and final source/date applicability and disputed-label adjudication remain outstanding. The separate 300-output DR11 comparison has not received human assessment. No original gold answer, historical generated answer, automated score or main historical performance estimate was overwritten.</w:t>
      </w:r>
    </w:p>
    <w:p>
      <w:pPr>
        <w:pStyle w:val="Heading1"/>
        <w:pageBreakBefore/>
      </w:pPr>
      <w:r>
        <w:t>DR1 and DR14 archived evidence and refusal sensitivity</w:t>
      </w:r>
    </w:p>
    <w:p>
      <w:r>
        <w:t>We audited the 18 proposed label changes against the archived source texts and preserved the original human ratings and automated scores. Six outputs concern false premises that the corpus can answer. Twelve ask for exact operational, current or future details absent from the archived provisions, while related framework information is available. For those twelve, an optional partial answer and a safe refusal of the unsupported detail are different response policies. We therefore do not treat a partly answerable label as automatic evidence of refusal failure.</w:t>
      </w:r>
    </w:p>
    <w:p>
      <w:r>
        <w:t>An archived-source audit of the 18 proposed answerability changes distinguished six false-premise outputs with corpus-supported answers from twelve outputs whose exact requested details remained unavailable despite related background information. Thus, partly answerable classifications do not by themselves establish incorrect refusal of the requested detail. Using the original judge scores without rescoring, excluding the six proposed answerable rows changes stress refusal passes from 7/10 to 4/6 and calibration passes from 15/16 to 13/14. Additionally excluding all twelve partly answerable rows yields 4/4, 9/10 and 12/12 for stress, calibration and post-calibration respectively, compared with archived 7/10, 15/16 and 17/18. These are denominator-sensitivity counts, not corrected accuracy estimates or evidence of improvement. The corresponding author subsequently approved separate assessment of refusal justification and supported-content completeness on 28 October 2026. Supplementary audit S14 preserves article evidence and draft bilingual references; current-law applicability remains unresolved; the corresponding author subsequently approved these 18 labels and references on 28 October 2026.</w:t>
      </w:r>
    </w:p>
    <w:p>
      <w:r>
        <w:t>The source audit also qualifies a retrieval explanation in the returned review: RDC 945/2024 Art. 83, which preserves the other ethical approvals, appears in both retrieved-citation lists for the ethics-review pair. Absence of Art. 8 alone cannot establish that all relevant evidence was missed. Conversely, IN 338/2024 Art. 10 is absent from the recorded retrieval lists for the automatic-approval pair. These observations concern citation lists and archived article text; they do not reconstruct or prove sufficiency of the exact historical generation context. Draft reference answers are supplied for author adjudication, without asserting current legal validity or changing historical results.</w:t>
      </w:r>
    </w:p>
    <w:p>
      <w:r>
        <w:t>Stratifying the 54 reviewed outputs originally labelled unanswerable, the coauthor classified six as answerable, twelve as partly answerable and 36 as unanswerable. In the six answerable cases, two responses were complete and four refused and were rated incomplete. Among the twelve partly answerable cases, three framework responses were rated complete with uncertain refusal appropriateness; nine bare refusals were rated incomplete and inappropriate under the coauthor rubric. All 36 author-unanswerable cases were rated appropriate refusals. These descriptive strata preserve the approved ratings and distinguish omission of supported information from justification for refusing an unavailable exact detail; they do not establish independent judge accuracy or resolve final benchmark labels.</w:t>
      </w:r>
    </w:p>
    <w:p>
      <w:r>
        <w:t>The saved local automated scoring implementation defines refusal correctness as refusing an unanswerable question without an unsupported answer, or answering an answerable question. The human review instructions additionally ask whether partly answerable responses distinguish supported information from unavailable details. We report the actual ratings under their original rubrics; no retrospective policy has been presented as prespecified or used to overwrite them. The corresponding author approved the separate refusal/completeness policy and all nine bilingual pair labels and reference drafts on 28 October 2026; the approval is recorded separately from Howard’s initial ratings. It is not another completed human review.</w:t>
      </w:r>
    </w:p>
    <w:p>
      <w:pPr>
        <w:pStyle w:val="Heading2"/>
        <w:pageBreakBefore/>
      </w:pPr>
      <w:r>
        <w:t>Completed corresponding author adjudication</w:t>
      </w:r>
    </w:p>
    <w:p>
      <w:r>
        <w:t>On 28 October 2026, the corresponding author approved the nine bilingual pair classifications and their draft reference answers after the archived-source audit: six formerly unanswerable outputs were classified answerable and twelve partly answerable, with the initial human ratings preserved. In the fully reviewed stress, calibration and post-calibration unanswerable strata, author-rated appropriate refusals were 4/4, 10/10 and 12/12 outputs, respectively (2/2, 5/5 and 6/6 bilingual pairs). Exact 95% binomial intervals for the endpoint that both language outputs in a pair were appropriate were 15.8–100.0%, 47.8–100.0% and 54.1–100.0%, respectively. These pair-level intervals are not independent output-level intervals and do not account for unblinded review, AI assistance or post hoc label decisions. Historical judge passes on the retained strata were 4/4, 9/10 and 12/12; these remain archived scores, not automated rescoring against the revised references. The 12 partly answerable outputs remain a separate stratum. No between-stage improvement or independent validation follows from these selected, small and differently composed cohorts.</w:t>
      </w:r>
    </w:p>
    <w:p>
      <w:r>
        <w:t>We have supplied a separate 404-output label/reference overlay rather than overwriting the historical benchmark. Only 18 rows receive new adjudicated labels and references; all other labels remain archived and are not newly verified by this decision. This is author adjudication of the archived-corpus task, not a new blinded study, a current-law verification or a re-evaluation of the separate DR11 pilot.</w:t>
      </w:r>
    </w:p>
    <w:p>
      <w:pPr>
        <w:pStyle w:val="Heading2"/>
        <w:pageBreakBefore/>
      </w:pPr>
      <w:r>
        <w:t>DR1 and DR14 mechanism audit of four refusals</w:t>
      </w:r>
    </w:p>
    <w:p>
      <w:r>
        <w:t>A targeted audit of four refusals subsequently classified as corpus-answerable (two bilingual pairs) recovered the first two saved context passages for each output and matched all eight exactly to the hash-matched July index. For the ethics-review pair, both final citation lists named RDC 945/2024 Art. 83, but the Portuguese passage contained paragraph 1 on ethical approvals whereas the English passage contained only paragraph 5 on imported products. Art. 13 supplied an ethical-authorization condition in both final selections (directly saved for Portuguese and uniquely mapped from the index for English). The more explicit Art. 8 appeared at rank 1 in the Portuguese logged BM25 list and rank 2 in the English logged fusion list, but was absent from both final lists. In the automatic-approval pair, IN 338/2024 Art. 10, which directly states that Anvisa is not bound by the AREE decision, was absent from all logged stage lists and final labels. Earlier-stage logs retain only five citations and therefore do not locate its rank in the full candidate pools. These observations distinguish missing direct evidence from possible non-use of remaining relevant evidence; they do not identify a causal generator or reranker effect. All four archived judge completeness and refusal-correctness scores were 1.000 under the original unanswerable labels and references. No new generation or judge calls were made.</w:t>
      </w:r>
    </w:p>
    <w:p>
      <w:r>
        <w:t>Article-level citation agreement does not establish passage-level evidence equivalence. In the four-case investigation, 19 of 20 final passage slots could be exactly matched or uniquely mapped to the preserved index; one Portuguese Art. 85 slot remained ambiguous because two indexed nodes share that label. Complete rendered historical prompts were not recovered, so the saved-code expansion and refusal rules cannot by themselves establish the precise deployed prompt or causally explain the refusal. The saved list-oriented expansion trigger matched none of these four questions. This identifies a testable coverage limitation, not proof that sibling expansion or a prompt change would repair the answers. Supplementary audit S17 preserves exact saved contexts, reconstructed passages, competing explanations and negative findings.</w:t>
      </w:r>
    </w:p>
    <w:p>
      <w:r>
        <w:t>This refines, without reversing, the approved corpus-answerability decisions. A question can be answerable from the corpus while the selected passage omits the decisive rule. Conversely, a refusal can occur despite relevant selected evidence. We therefore avoid describing all four cases as a proven generator-only failure. The relation to DR13 is the evidence that article labels, sibling-chunk selection and selective context expansion must be described separately. No pipeline fix, independent review or improved answer score is claimed.</w:t>
      </w:r>
    </w:p>
    <w:p>
      <w:pPr>
        <w:pStyle w:val="Heading2"/>
        <w:pageBreakBefore/>
      </w:pPr>
      <w:r>
        <w:t>DR1 and DR14 completed four question context test</w:t>
      </w:r>
    </w:p>
    <w:p>
      <w:r>
        <w:t>For the four-question mechanism test, the question and final saved prompt were held fixed while contexts used reconstructed original selections, complete Art. 83 siblings, or an appended direct provision (Art. 8 for ethics and Art. 10 for reliance). Requests were randomized with seed 20261028 and three temperature-0.2 repeats; exact prompt-and-repeat duplicates reused responses. No citation repairs, wrapper fallback or automated judge calls were used. All raw responses and resolved model versions were saved. Outcomes were refusal detection, cited negative candidates and AI-assisted inspection of support in the cited selected passages and language compliance. These are diagnostic counts, not validated accuracy estimates.</w:t>
      </w:r>
    </w:p>
    <w:p>
      <w:r>
        <w:t>A subsequent evidence-intervention diagnostic used four selected questions, a fixed saved prompt and gemini-3.5-flash-lite at temperature 0.2, with three repeats per input. Both reconstructions of one ambiguous Portuguese passage were retained. Thirty-nine unique generation calls supplied 45 condition records because unchanged reliance-question contexts shared calls between the original and sibling conditions. Appending IN 338/2024 Art. 10 produced a negative citing that direct provision in 3/3 repeats in each language; reconstructed original contexts yielded 1/3 Portuguese and 3/3 English cited negatives without direct support for the non-binding conclusion. Completing Art. 83 siblings made the ethical-approval clause available to support the English ethics negatives (3/3), but both Portuguese reconstructions then refused in 3/3 repeats, compared with 1/3 and 0/3 original-context refusals. Appending the explicit Art. 8 produced 1/3 and 3/3 Portuguese refusals across the two reconstructions and 3/3 English refusals. Thus, adding direct or complete evidence did not consistently resolve the ethics cases. AI-assisted inspection flagged seven cited negatives with support not established in the cited selected passages and six language deviations among the 39 unique outputs. No independent human ratings or automated judge calls were added; these findings are reported in Supplementary audit S18.</w:t>
      </w:r>
    </w:p>
    <w:p>
      <w:r>
        <w:t>The four-question context diagnostic is a post hoc test on known failures with only two underlying bilingual pairs. Three repeats do not create additional independent questions, and identical-prompt conditions reuse calls. Its current pinned model and saved final prompt do not reproduce the unidentified July backend or prove the exact historical prompt. Added evidence changes context length and composition as well as provision availability; negative and heterogeneous findings cannot be attributed solely to a particular instruction or clause. Citation-bearing negatives were screened separately from passage support and language compliance. AI-assisted assessment of the 39 new outputs does not substitute for human validation, and no result from this diagnostic replaces the historical benchmark, Howard’s original ratings or the approved archived-corpus labels.</w:t>
      </w:r>
    </w:p>
    <w:p>
      <w:r>
        <w:t>The controlled current-model test supports distinguishing corpus answerability, selection of the relevant passage, generation of a negative answer and support for the cited claim. It does not justify adopting unconditional sibling expansion, adding targeted anchors to the benchmark as if independently validated, or describing every negative answer as correct. We preserve the negative findings and all raw outputs; the DR13 rule audit and any broader pipeline change remain separate.</w:t>
      </w:r>
    </w:p>
    <w:p>
      <w:pPr>
        <w:pStyle w:val="Heading2"/>
        <w:pageBreakBefore/>
      </w:pPr>
      <w:r>
        <w:t>DR1 and DR14 bounded ethics prompt and control follow up</w:t>
      </w:r>
    </w:p>
    <w:p>
      <w:r>
        <w:t>A final bounded ethics-review diagnostic crossed two prompt versions with three evidence conditions: original reconstructed context, appended direct Art. 8, and an unrelated Art. 11 excerpt matched to the direct arm on cl100k_base prompt-token count. The clarified prompt changed only the false-premise rule to recognize an explicit necessary requirement without requiring the proposed substitute to be named verbatim. Both Portuguese reconstructions and three repeats were retained. Thirty-six new randomized calls were combined with 18 exact-prompt saved responses; all used gemini-3.5-flash-lite at temperature 0.2, without automated judging or repairs. Local token matching is a proxy rather than native Gemini length matching. Newly interleaved control arms permit a within-batch prompt comparison; contrasts using the reused original/direct arms also span batches.</w:t>
      </w:r>
    </w:p>
    <w:p>
      <w:r>
        <w:t>In the ethics follow-up, the clarified prompt with direct Art. 8 yielded 3/3, 3/3, 3/3 negatives citing an explicit ethics requirement across Portuguese reconstruction 1, Portuguese reconstruction 2 and English, respectively; the saved original-prompt direct arms yielded 2/3, 0/3, 0/3. Clarification without the direct article yielded 3/3, 1/3, 0/3 explicit-requirement-supported candidates. In the newly generated length-control arms, the corresponding original-prompt versus clarified-prompt counts were 1/3, 0/3, 0/3 versus 1/3, 3/3, 0/3. The full matrix separates canonical refusal, a cited negative, support in the cited selected provision, language compliance and the use of related Art. 13 evidence requiring human adjudication. These selected-case counts suggest testing the combination of instruction and direct evidence rather than treating corpus answerability or non-refusal as sufficient. They do not establish general improvement or the exact cause of July outputs. Supplementary audit S19 reports all 54 records, including 18 reused responses and negative findings.</w:t>
      </w:r>
    </w:p>
    <w:p>
      <w:r>
        <w:t>The ethics follow-up contains only one bilingual question pair, with two sensitivity reconstructions of the Portuguese selection and three repeats; none create additional independent questions. The clarified instruction was authored after viewing earlier failures. Local token counts, content of the unrelated control and the 53-token longer clarified prompt limit claims that semantic instruction, native model length and distracting evidence were independently isolated. Eighteen original-prompt responses were reused from an earlier batch, so those contrasts cannot exclude between-batch variation despite the same returned model version. Article 13-only negatives are retained as a separate, unresolved support judgment. New outputs have AI-assisted inspection only. This is the stopping point for the targeted investigation, not a validated pipeline change or an independent benchmark result.</w:t>
      </w:r>
    </w:p>
    <w:p>
      <w:r>
        <w:t>We close this targeted investigation without further tuning on the known question. The results refine the failure explanation but do not complete independent human verification or establish current-law correctness. DR13 remains the next rule-description and ablation audit; no production retrieval or prompt change is claimed from this single-pair experiment.</w:t>
      </w:r>
    </w:p>
    <w:p>
      <w:pPr>
        <w:pStyle w:val="Heading2"/>
        <w:pageBreakBefore/>
      </w:pPr>
      <w:r>
        <w:t>DR13: Query rewriting, targeted anchors and overfitting</w:t>
      </w:r>
    </w:p>
    <w:p>
      <w:r>
        <w:t>We agree that the six examples were incomplete. We have replaced that paragraph with the implemented pipeline and provided a complete rule inventory in S20. The publication evaluator and Translator smoke test are distinct modes; a component-loaded message does not identify the mode used by every reported run.</w:t>
      </w:r>
    </w:p>
    <w:p>
      <w:r>
        <w:t>English retrieval used a deterministic glossary-expansion mode in the archived publication evaluator, rather than merely six illustrative anchors. This mode retains the English question, extracts regulatory identifiers and appends matched Portuguese terms from a 114-entry glossary. A separate Translator mode uses a model to rewrite into Portuguese and then appends glossary matches; its smoke-test output does not establish its use in the publication runs. The evaluator selects these modes explicitly and, in the audited glossary/original configuration, uses the original question for reranking and answer prompting. Beyond rewriting, retrieval includes five regex-triggered reranking query expansions, Article 1 source/scope promotion, two exact-text document anchors, a lexical fallback for source-identification queries, citation diversification and conditional neighboring-article injection. A separate question-triggered context rule expands sibling chunks of a selected article before generation. Supplementary audit S20 lists the full glossary, trigger expressions, selection and promotion logic, source hashes and ablation coverage. These rules were developed with exposure to benchmark failures; the reused question sets are development data.</w:t>
      </w:r>
    </w:p>
    <w:p>
      <w:r>
        <w:t>The existing frozen-index ablations isolate rule families after English glossary expansion, which remains enabled throughout. Across 160 answerable development questions (80 bilingual pairs), mean article Recall@5 was 0.950 without additional reranking/document anchors or neighbors, 0.956 with query anchors, 0.969 with document-anchor rules also restored and 0.988 with neighbors restored. The full-versus-no-additional-rules paired difference was 0.0375 (95% bilingual-pair bootstrap interval 0.0063 to 0.0750). Neighbor restoration improved recall but changed article MRR@5 by -0.0050 (95% interval -0.0141 to 0.0013). A subsequent local glossary-off contrast reused frozen original-query candidates and the same reranker. On the 80 English questions, full-pipeline mean article Recall@5 increased from 0.7313 without expansion to 0.9750 with expansion (paired difference 0.2438; 95% interval 0.1500 to 0.3438): 20 questions improved, one worsened and 59 were unchanged. All 80 Portuguese results were unchanged. These are conditional, sequential development-data comparisons, not independent generalization or evidence of answer-quality gains. Individual glossary entries, each document rule and sibling-chunk answer effects are not isolated.</w:t>
      </w:r>
    </w:p>
    <w:p>
      <w:r>
        <w:t>The six-anchor description understated development-dependent retrieval customization. The legacy stability/stability-study glossary terms do not indicate that a stability regulation was present: the corpus file bearing that label contains pharmacovigilance content. We remove the misleading stability example from the manuscript while preserving the historical glossary and documenting its activation. Rule-family retrieval ablations cannot demonstrate that the rules avoid overfitting; individual glossary-term contrasts remain unperformed; the sibling diagnostic now includes unblinded author review of its first-repeat subset, and a fresh independent question set would be required for a generalization claim. The older June rewrite comparison involves a different run configuration and is retained as historical background, not substituted for the missing controlled contrast.</w:t>
      </w:r>
    </w:p>
    <w:p>
      <w:r>
        <w:t>The description, glossary-bundle contrast and rule-family reporting have been corrected. The subsequent audit below completes the local individual targeted-rule retrieval contrasts. Individual glossary-term effects, human verification of sibling-context answer effects and independent validation remain outside those tests; the overfitting concern is not declared resolved.</w:t>
      </w:r>
    </w:p>
    <w:p>
      <w:pPr>
        <w:pStyle w:val="Heading2"/>
        <w:pageBreakBefore/>
      </w:pPr>
      <w:r>
        <w:t>DR13 Individual rule ablations</w:t>
      </w:r>
    </w:p>
    <w:p>
      <w:r>
        <w:t>We have now removed the targeted retrieval operations one at a time. We report activation and all observed regressions rather than describing every rule as beneficial.</w:t>
      </w:r>
    </w:p>
    <w:p>
      <w:r>
        <w:t>We subsequently performed 12 individual leave-one-rule-out retrieval contrasts against the full pipeline on the same 160 answerable development questions (80 bilingual pairs), yielding 2,080 question-condition records including baseline. The five reranking query expansions were removed separately; the title-based and named-scope Article 1 branches, two exact-text article anchors, lexical fallback, neighbor injection and citation diversification were also removed separately. Every contrast retained all other rules and the glossary. Full-on rankings matched the saved baseline for every question; exact query/passage score-cache reuse required no new model scoring or external calls. Supplementary audit S21 supplies the protocol, activation counts, question-level changes and paired 95% bootstrap intervals.</w:t>
      </w:r>
    </w:p>
    <w:p>
      <w:r>
        <w:t>Each of the five query-expansion rules activated on one English question. Retaining the applicant-submission rule increased mean article Recall@5 by 0.00625 (95% bilingual-pair bootstrap interval 0 to 0.01875); retaining the exact documentation-format anchor produced the same recall difference. Other individual query/document rules did not change mean recall in this cohort. Retaining the responsibilities query expansion reduced article MRR@5 by 0.001875; title-based Article 1 promotion reduced it by 0.003125; lexical fallback reduced it by 0.00625. Their descriptive 95% intervals reached zero. Neighbor injection increased recall by 0.01875 (95% interval 0 to 0.04375) but changed MRR by -0.0050 (95% interval -0.0141 to 0.0013). Citation diversification changed 29 node rankings without changing recall, MRR or source-hit endpoints; the named-scope branch never activated. Source hit@5 did not change in any contrast. All gains, regressions, no-effect findings and changed IDs are retained in S21.</w:t>
      </w:r>
    </w:p>
    <w:p>
      <w:r>
        <w:t>The individual-rule contrasts reuse benchmark-exposed development questions, and five query rules have only one activated question each. The named-scope branch has no activated case, so its zero effect is uninformative about utility. Disabling one rule can expose another fallback; these are conditional leave-one-out effects and cannot be added as independent contributions. Zero-change bootstrap intervals are not equivalence tests, and the descriptive intervals were not corrected for multiple contrasts. Changes in article-level gold metrics do not adjudicate passage sufficiency, answer completeness or current-law correctness. The glossary was evaluated as a bundle rather than as 114 separate terms. The subsequent sibling-context diagnostic is reported separately; unblinded author review covers the first-repeat subset, while independent evaluation remains outstanding. No rule was removed from the application on the basis of these development results.</w:t>
      </w:r>
    </w:p>
    <w:p>
      <w:r>
        <w:t>This completes the individual targeted-rule retrieval audit. The subsequent paired sibling-context answer diagnostic is reported below. Neither establishes independent generalization or current legal applicability; unblinded author review of the sibling first-repeat subset is now reported below; human review of the DR11 answer experiment remains pending.</w:t>
      </w:r>
    </w:p>
    <w:p>
      <w:pPr>
        <w:pStyle w:val="Heading2"/>
        <w:pageBreakBefore/>
      </w:pPr>
      <w:r>
        <w:t>DR13 Paired sibling context answer diagnostic</w:t>
      </w:r>
    </w:p>
    <w:p>
      <w:r>
        <w:t>A paired sibling-context answer diagnostic screened all 160 answerable development questions with the archived conditional expansion rule. Its trigger matched 21 questions, but only 18 questions across 13 bilingual pairs had different answer prompts. Both languages of those pairs were retained, giving 26 question rows. Rankings, glossary, other retrieval rules and the original QA template were fixed; only sibling expansion was toggled. Three repeats per condition used gemini-3.5-flash-lite at temperature 0.2. Exact-prompt unchanged counterparts shared a response per repeat, producing 132 unique generations and 132 automated evaluations for 156 logical condition records. No citation repair, wrapper fallback or normalization was used. The primary endpoint averaged automated completeness over repeats, then over changed languages within each pair, with equal weight for the 13 pairs. Descriptive 95% intervals used 10,000 bilingual-pair bootstrap resamples. Supplementary audit S22 retains the frozen plan, raw responses and all outcomes.</w:t>
      </w:r>
    </w:p>
    <w:p>
      <w:r>
        <w:t>Among the 18 changed questions, equal-pair-weighted automated completeness was 0.793 without sibling expansion and 0.969 with expansion, an observed increase of +0.176 (95% pair-bootstrap interval +0.008 to +0.364). Question-level repeat means improved in 8 questions, worsened in 1 and were unchanged in 9. This is an observed development-data contrast, not an independent estimate of generalization. The eight unchanged counterpart questions share exact input-response records across arms by design and are not independent stochastic-noise controls. Scores are provisional same-model assessments against archived references; all regressions, refusals, language flags, citation checks and failures are retained. Unblinded coauthor review of the 44 unique first-repeat answers was subsequently completed and is reported separately. A post hoc sensitivity excluded three pairs with previously flagged revoked gold (RDC 9/2015 or wholly revoked RDC 55/2010 articles), retaining 13 changed questions across 10 pairs. Automated completeness was 0.822 without expansion and 0.995 with expansion (difference +0.173; 95% interval +0.000 to +0.408). That interval reaches zero. This screen does not verify the remaining references or establish current-law accuracy. The prespecified archived-gold primary result is retained unchanged.</w:t>
      </w:r>
    </w:p>
    <w:p>
      <w:r>
        <w:t>The sibling diagnostic evaluates a development-exposed rule on known questions. Expansion changes the amount, content and order of selected evidence together; it does not isolate length or guarantee that every added clause is needed. Article labels can remain unchanged while evidence sufficiency changes. Automated completeness uses archived references and the same model as generation; it is not human verification or current-law accuracy. The archived corpus-answerability refusal score is not interpreted as justification of refusal given the exact selected passages. Human review separates passage sufficiency, completeness of supported information and refusal of unavailable detail. The initial 40-row AI-authored, Howard-approved question set required six pair replacements. After a subsequent replacement submission, three pairs still require replacement before freezing; no validation outputs have been generated. His coauthor role and earlier exposure prevent calling it independent external validation.</w:t>
      </w:r>
    </w:p>
    <w:p>
      <w:r>
        <w:t>We prepared a prospective author-led validation protocol and a blank 40-row question-authoring template for Howard. He must provide the fresh questions and references before generation; the questions will undergo overlap screening and freezing first. This is a planned author-led study, not completed independent validation. His original 94 ratings are unchanged.</w:t>
      </w:r>
    </w:p>
    <w:p>
      <w:pPr>
        <w:pStyle w:val="Heading2"/>
        <w:pageBreakBefore/>
      </w:pPr>
      <w:r>
        <w:t>DR1 and DR13 Completed unblinded author review</w:t>
      </w:r>
    </w:p>
    <w:p>
      <w:r>
        <w:t>On 28 October 2026, coauthor H.L.R.J. personally approved the AI-assisted ratings for all 44 unique first-repeat sibling-test answers after exposure to automated scores and the concealed condition key, as confirmed by the corresponding author. This was unblinded author review. Assessment used the exact selected passages and separately rated evidence sufficiency, completeness of supported information, claim and citation support, justification for refusing unavailable detail, and language. The 44 answers comprise 36 answers for the 18 changed questions and eight shared unchanged counterparts; they do not constitute human review of all 132 unique generations.</w:t>
      </w:r>
    </w:p>
    <w:p>
      <w:r>
        <w:t>In the first-repeat author review, supported-information completeness was rated Yes for 16/18 answers without sibling expansion and 18/18 with expansion among changed questions. Selected evidence was rated sufficient in 11/18 and 17/18, respectively; language compliance was 15/18 and 16/18. Across all 44 unique answers, 41 were rated complete and 38 language-compliant. Three refusals appropriately withheld unavailable detail but omitted supported information and were rated incomplete; one was an unchanged counterpart. These descriptive author judgments remain susceptible to score and condition exposure and do not independently confirm the automated effect or current-law accuracy.</w:t>
      </w:r>
    </w:p>
    <w:p>
      <w:r>
        <w:t>Howard also reapproved the revised historical 94-row file on 28 October. All original categorical ratings and question and answer text were unchanged; 51 explanations and all reviewer and date fields were updated. The original 26 October review and the submitted files are retained separately. Added regulatory-status statements in the explanations have not been independently verified and do not close the current-law audit.</w:t>
      </w:r>
    </w:p>
    <w:p>
      <w:r>
        <w:t>This addresses the absence of human checking for the selected outputs while documenting that review was author-led, AI-assisted and unblinded. Independent validation, remaining disputed ratings, current-law verification and human review of the DR11 outputs remain open. The fresh 40-row template has now been returned and reviewed as described in Supplementary audit S23; it is not yet frozen.</w:t>
      </w:r>
    </w:p>
    <w:p>
      <w:pPr>
        <w:pStyle w:val="Heading2"/>
        <w:pageBreakBefore/>
      </w:pPr>
      <w:r>
        <w:t>DR1 and DR13 Prospective question screening</w:t>
      </w:r>
    </w:p>
    <w:p>
      <w:r>
        <w:t>The proposed fresh-question file contains 20 bilingual pairs (40 rows): 12 answerable, four partly answerable and four unanswerable pairs. All required fields were populated and supplied support quotations were located after accent and whitespace normalization in the five supplied archived texts. No normalized exact question match was found against the 372-record development registry. These checks do not establish semantic novelty or current-law accuracy.</w:t>
      </w:r>
    </w:p>
    <w:p>
      <w:r>
        <w:t>The submitted file explicitly attributes all questions and references to Claude after exposure to the earlier 94-output and 44-output materials. The corresponding author confirmed that Howard personally reviewed and approved all 40 rows. This is an AI-authored, coauthor-reviewed candidate set, not independently human-authored validation. The submitted authorship, approval and date cells remain unchanged; the confirmation is stored as a separate declaration. The actual date of Howard’s review has not been separately confirmed.</w:t>
      </w:r>
    </w:p>
    <w:p>
      <w:r>
        <w:t>AI-assisted semantic screening identified substantive component reuse in six pairs: AV_002 (final-report deadline), AV_006 (failed reliance criteria), AV_007 (RFV autonomy duties), AV_012 (sworn translation), AV_014 (petition-characterization form) and AV_015 (PBRER obligations). Extra clauses do not establish independence of reused components. We recommend replacing these four answerable and two partly answerable pairs before freezing the planned 20-pair test. Fourteen pairs have no substantive reuse identified in this screen; that is not a guarantee of novelty. No question was selected or excluded using new model outputs, and no new model calls were performed.</w:t>
      </w:r>
    </w:p>
    <w:p>
      <w:r>
        <w:t>The absence search logs cover the five supplied authoring texts; the frozen operational index contains six documents, including historical RDC 9/2015. Questions explicitly name archived-source scope. Before execution, source eligibility, treatment of answers supported only by other indexed documents, and absence classifications must be reconciled and frozen without silently changing the pipeline. Archived-text support is not verification of present legal applicability. The full 40-row set is not frozen or reported as a completed validation experiment.</w:t>
      </w:r>
    </w:p>
    <w:p>
      <w:pPr>
        <w:pStyle w:val="Heading2"/>
        <w:pageBreakBefore/>
      </w:pPr>
      <w:r>
        <w:t>DR1 and DR13 Screening of replacement questions</w:t>
      </w:r>
    </w:p>
    <w:p>
      <w:r>
        <w:t>A replacement submission received on 29 October 2026 supplied six bilingual pairs (12 rows) to address the initial prospective-set overlap findings. The corresponding author confirmed Howard’s personal review and approval of all 12 replacement rows. The submitted file retains AI authorship and stale pending-review cells; a separate approval declaration preserves both facts without overwriting the original. The actual date of Howard’s personal review was not separately confirmed. All replacement questions, classifications and references were incorporated into a versioned 40-row candidate; the other 28 rows were unchanged.</w:t>
      </w:r>
    </w:p>
    <w:p>
      <w:r>
        <w:t>All 12 replacement rows passed required-field and normalized support-quotation checks, with no normalized exact match against the 372-record development registry. AI-assisted semantic screening nevertheless identified three remaining overlaps: AV_002 reuses the trial-data retention requirement in DIRECT_07 and DR8_DIRECT_07; AV_012 reuses the country-of-manufacture registration condition and exception in EXTERNAL_016; and AV_015 reuses the 72-hour urgent-safety reporting deadline in EXTERNAL_005. Extra answer elements or an unavailable-detail clause do not remove the reused component. AV_006, AV_007 and AV_014 had no substantive reuse identified in this screen. Seventeen candidate pairs now have no substantive reuse identified; this is not certification of novelty or independent validation.</w:t>
      </w:r>
    </w:p>
    <w:p>
      <w:r>
        <w:t>Two answerable pairs (AV_002 and AV_012) and one partly answerable pair (AV_015) require replacement before freezing. The candidate still has the planned 12 answerable, four partly answerable and four unanswerable bilingual pairs, but is not a completed validation experiment. Source-eligibility and absence-search scope must also be reconciled with the six-document frozen index. No new generation or judge calls were made, and no selection used new model outcomes. Historical submissions, raw ratings and benchmark scores remain unchanged. The set remains AI-authored and coauthor-reviewed after earlier benchmark exposure.</w:t>
      </w:r>
    </w:p>
    <w:p>
      <w:r>
        <w:t>Sincerely,</w:t>
        <w:br/>
        <w:t>The authors</w:t>
      </w:r>
    </w:p>
    <w:sectPr w:rsidR="00FC693F" w:rsidRPr="0006063C" w:rsidSect="00034616">
      <w:pgSz w:w="11909" w:h="16834"/>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Bilingual Retrieval-Augmented Access to ANVISA Regulatory Documents: A Technical Evaluation Using Drug-Development and Health-Product Questions</dc:title>
  <dc:subject/>
  <dc:creator>Carlos Victor Montefusco-Pereira</dc:creator>
  <cp:keywords/>
  <dc:description>generated by python-docx</dc:description>
  <cp:lastModifiedBy/>
  <cp:revision>1</cp:revision>
  <dcterms:created xsi:type="dcterms:W3CDTF">2013-12-23T23:15:00Z</dcterms:created>
  <dcterms:modified xsi:type="dcterms:W3CDTF">2013-12-23T23:15:00Z</dcterms:modified>
  <cp:category/>
</cp:coreProperties>
</file>