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Methods. Six regulatory documents were indexed. Historical assessments produced 404 outputs: 150 internal questions, 75 English and 75 Portuguese repair outputs, 50 stress questions, 24 calibration questions and 30 post-calibration questions. Stages overlapped. An automated judge scored these outputs, with subsequent coauthor review of 94 selected answers. A further frozen author-led assessment comprised 40 questions in 20 bilingual pairs, all rated against their exact retrieved passages. Pair success required both languages to satisfy prespecified task and language criteria; 95% intervals were calculated at pair level.</w:t>
      </w:r>
    </w:p>
    <w:p>
      <w:pPr/>
      <w:r>
        <w:rPr>
          <w:rFonts w:ascii="Arial" w:hAnsi="Arial" w:eastAsia="Arial" w:cs="Arial"/>
          <w:color w:val="000000"/>
        </w:rPr>
        <w:t>Results. The index contained 382 articles and 481 chunks. Historical stress-assessment completeness averaged 0.943 among 40 answerable outputs (95% CI 0.873 to 0.990). In the frozen assessment, 10/20 pairs succeeded (50.0%; exact 95% CI 27.2 to 72.8%): 6/12 answerable, 0/4 partly answerable and 4/4 unanswerable pairs. Five English outputs were in Portuguese. Failures included missing retrieved provisions, supported information omitted by blanket refusals, and a cited answer to the wrong task.</w:t>
      </w:r>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rPr>
          <w:rFonts w:ascii="Arial" w:hAnsi="Arial" w:eastAsia="Arial" w:cs="Arial"/>
          <w:color w:val="000000"/>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rPr>
          <w:rFonts w:ascii="Arial" w:hAnsi="Arial" w:eastAsia="Arial" w:cs="Arial"/>
          <w:color w:val="000000"/>
        </w:rPr>
        <w:t>Development history and software provenance are provided in Supplementary Table S5 and the supplementary development provenance record.</w:t>
      </w:r>
    </w:p>
    <w:p>
      <w:pPr/>
      <w:r>
        <w:rPr>
          <w:rFonts w:ascii="Arial" w:hAnsi="Arial" w:eastAsia="Arial" w:cs="Arial"/>
          <w:color w:val="000000"/>
        </w:rP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eastAsia="Arial" w:cs="Arial"/>
          <w:color w:val="000000"/>
        </w:rP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rPr>
          <w:rFonts w:ascii="Arial" w:hAnsi="Arial" w:eastAsia="Arial" w:cs="Arial"/>
          <w:color w:val="000000"/>
        </w:rP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rPr>
          <w:rFonts w:ascii="Arial" w:hAnsi="Arial" w:eastAsia="Arial" w:cs="Arial"/>
          <w:color w:val="000000"/>
        </w:rP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Benchmark. The constructed main benchmark contained 200 question rows organized as 100 Portuguese, 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rPr>
          <w:rFonts w:ascii="Arial" w:hAnsi="Arial" w:eastAsia="Arial" w:cs="Arial"/>
          <w:color w:val="000000"/>
        </w:rP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Streamlit interface. The local prototype displays a question field, a generated answer and retrieved passages with citation labels. The archived smoke test answered an English question in Portuguese under a bilingual setting. It therefore documents a language failure and cannot establish bilingual deployment performance or equivalence to the scripted evaluations. Figure S4 presents an interface schematic based on this display structure, not an altered screenshot or a separate performance test.</w:t>
      </w:r>
    </w:p>
    <w:p>
      <w:r>
        <w:rPr>
          <w:rFonts w:ascii="Arial" w:hAnsi="Arial" w:eastAsia="Arial" w:cs="Arial"/>
          <w:color w:val="000000"/>
        </w:rP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rPr>
          <w:rFonts w:ascii="Arial" w:hAnsi="Arial" w:eastAsia="Arial" w:cs="Arial"/>
          <w:color w:val="000000"/>
        </w:rP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rPr>
          <w:rFonts w:ascii="Arial" w:hAnsi="Arial" w:eastAsia="Arial" w:cs="Arial"/>
          <w:color w:val="000000"/>
        </w:rP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rPr>
          <w:rFonts w:ascii="Arial" w:hAnsi="Arial" w:eastAsia="Arial" w:cs="Arial"/>
          <w:color w:val="000000"/>
        </w:rP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rPr>
          <w:rFonts w:ascii="Arial" w:hAnsi="Arial" w:eastAsia="Arial" w:cs="Arial"/>
          <w:color w:val="000000"/>
        </w:rP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rPr>
          <w:rFonts w:ascii="Arial" w:hAnsi="Arial" w:eastAsia="Arial" w:cs="Arial"/>
          <w:color w:val="000000"/>
        </w:rP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r>
        <w:rPr>
          <w:rFonts w:ascii="Arial" w:hAnsi="Arial" w:eastAsia="Arial" w:cs="Arial"/>
          <w:color w:val="000000"/>
        </w:rPr>
        <w:t>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p>
    <w:p>
      <w:r>
        <w:rPr>
          <w:rFonts w:ascii="Arial" w:hAnsi="Arial" w:eastAsia="Arial" w:cs="Arial"/>
          <w:color w:val="000000"/>
        </w:rPr>
        <w:t>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rPr>
          <w:rFonts w:ascii="Arial" w:hAnsi="Arial" w:eastAsia="Arial" w:cs="Arial"/>
          <w:color w:val="000000"/>
        </w:rP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rPr>
          <w:rFonts w:ascii="Arial" w:hAnsi="Arial" w:eastAsia="Arial" w:cs="Arial"/>
          <w:color w:val="000000"/>
        </w:rP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rPr>
          <w:rFonts w:ascii="Arial" w:hAnsi="Arial" w:eastAsia="Arial" w:cs="Arial"/>
          <w:color w:val="000000"/>
        </w:rPr>
        <w:t>Retrieval baselines and component ablations</w:t>
      </w:r>
    </w:p>
    <w:p>
      <w:pPr/>
      <w:r>
        <w:rPr>
          <w:rFonts w:ascii="Arial" w:hAnsi="Arial" w:eastAsia="Arial" w:cs="Arial"/>
          <w:color w:val="000000"/>
        </w:rP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rPr>
          <w:rFonts w:ascii="Arial" w:hAnsi="Arial" w:eastAsia="Arial" w:cs="Arial"/>
          <w:color w:val="000000"/>
        </w:rP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rPr>
          <w:rFonts w:ascii="Arial" w:hAnsi="Arial" w:eastAsia="Arial" w:cs="Arial"/>
          <w:color w:val="000000"/>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AI-authored diagnostic stress test</w:t>
      </w:r>
    </w:p>
    <w:p>
      <w:pPr/>
      <w:r>
        <w:rPr>
          <w:rFonts w:ascii="Arial" w:hAnsi="Arial" w:eastAsia="Arial" w:cs="Arial"/>
          <w:color w:val="000000"/>
        </w:rP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The same test exposed refusal behavior as the main remaining weakness. Literal refusal detection for unanswerable/adversarial questions was 0.600, and AI-judge refusal correctness was 7/10 (0.700; 95% pair-cluster bootstrap CI 0.300 to 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In the later refusal-focused AI-authored test, the system correctly refused 17 of 18 unanswerable questions by AI-judge scoring, giving refusal correctness 0.944 (95% pair-cluster bootstrap CI 0.833 to 1.000; nine pairs), using the archived labels before the subsequent author adjudication reported below. It did not over-refuse the answerable controls: answerable-control faithfulness was 1.000, citation correctness was 1.000, and completeness was 0.908 (95% CI 0.792 to 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rPr>
          <w:rFonts w:ascii="Arial" w:hAnsi="Arial" w:eastAsia="Arial" w:cs="Arial"/>
          <w:color w:val="000000"/>
        </w:rP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rPr>
          <w:rFonts w:ascii="Arial" w:hAnsi="Arial" w:eastAsia="Arial" w:cs="Arial"/>
          <w:color w:val="000000"/>
        </w:rPr>
        <w:t>Author verification of selected outputs</w:t>
      </w:r>
    </w:p>
    <w:p>
      <w:pPr/>
      <w:r>
        <w:rPr>
          <w:rFonts w:ascii="Arial" w:hAnsi="Arial" w:eastAsia="Arial" w:cs="Arial"/>
          <w:color w:val="000000"/>
        </w:rP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p>
    <w:p>
      <w:pPr/>
      <w:r>
        <w:rPr>
          <w:rFonts w:ascii="Arial" w:hAnsi="Arial" w:eastAsia="Arial" w:cs="Arial"/>
          <w:color w:val="000000"/>
        </w:rP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rPr>
          <w:rFonts w:ascii="Arial" w:hAnsi="Arial" w:eastAsia="Arial" w:cs="Arial"/>
          <w:color w:val="000000"/>
        </w:rP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rPr>
          <w:rFonts w:ascii="Arial" w:hAnsi="Arial" w:eastAsia="Arial" w:cs="Arial"/>
          <w:color w:val="000000"/>
        </w:rP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rPr>
          <w:rFonts w:ascii="Arial" w:hAnsi="Arial" w:eastAsia="Arial" w:cs="Arial"/>
          <w:color w:val="000000"/>
        </w:rP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rPr>
          <w:rFonts w:ascii="Arial" w:hAnsi="Arial" w:eastAsia="Arial" w:cs="Arial"/>
          <w:color w:val="000000"/>
        </w:rP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rPr>
          <w:rFonts w:ascii="Arial" w:hAnsi="Arial" w:eastAsia="Arial" w:cs="Arial"/>
          <w:color w:val="000000"/>
        </w:rP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rPr>
          <w:rFonts w:ascii="Arial" w:hAnsi="Arial" w:eastAsia="Arial" w:cs="Arial"/>
          <w:color w:val="000000"/>
        </w:rP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rPr>
          <w:rFonts w:ascii="Arial" w:hAnsi="Arial" w:eastAsia="Arial" w:cs="Arial"/>
          <w:color w:val="000000"/>
        </w:rP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rPr>
          <w:rFonts w:ascii="Arial" w:hAnsi="Arial" w:eastAsia="Arial" w:cs="Arial"/>
          <w:color w:val="000000"/>
        </w:rP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rPr>
          <w:rFonts w:ascii="Arial" w:hAnsi="Arial" w:eastAsia="Arial" w:cs="Arial"/>
          <w:color w:val="000000"/>
        </w:rP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rPr>
          <w:rFonts w:ascii="Arial" w:hAnsi="Arial" w:eastAsia="Arial" w:cs="Arial"/>
          <w:color w:val="000000"/>
        </w:rP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rPr>
          <w:rFonts w:ascii="Arial" w:hAnsi="Arial" w:eastAsia="Arial" w:cs="Arial"/>
          <w:color w:val="000000"/>
        </w:rPr>
        <w:t>Frozen author-led assessment</w:t>
      </w:r>
    </w:p>
    <w:p>
      <w:pPr/>
      <w:r>
        <w:rPr>
          <w:rFonts w:ascii="Arial" w:hAnsi="Arial" w:eastAsia="Arial" w:cs="Arial"/>
          <w:color w:val="000000"/>
        </w:rPr>
        <w:t>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p>
    <w:p>
      <w:pPr/>
      <w:r>
        <w:rPr>
          <w:rFonts w:ascii="Arial" w:hAnsi="Arial" w:eastAsia="Arial" w:cs="Arial"/>
          <w:color w:val="000000"/>
        </w:rPr>
        <w:t>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p>
    <w:p>
      <w:r>
        <w:rPr>
          <w:rFonts w:ascii="Arial" w:hAnsi="Arial" w:eastAsia="Arial" w:cs="Arial"/>
          <w:color w:val="000000"/>
        </w:rPr>
        <w:t>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p>
    <w:p>
      <w:pPr>
        <w:pStyle w:val="Heading2"/>
      </w:pPr>
      <w:r>
        <w:rPr>
          <w:rFonts w:ascii="Arial" w:hAnsi="Arial" w:eastAsia="Arial" w:cs="Arial"/>
          <w:color w:val="000000"/>
        </w:rPr>
        <w:t>Summary of quantitative evaluation</w:t>
      </w:r>
    </w:p>
    <w:p>
      <w:pPr/>
      <w:r>
        <w:rPr>
          <w:rFonts w:ascii="Arial" w:hAnsi="Arial" w:eastAsia="Arial" w:cs="Arial"/>
          <w:color w:val="000000"/>
        </w:rP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rPr>
          <w:rFonts w:ascii="Arial" w:hAnsi="Arial" w:eastAsia="Arial" w:cs="Arial"/>
          <w:color w:val="000000"/>
        </w:rP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The findings support a bilingual prototype for locating evidence within a closed corpus of selected ANVISA documents. Citation can connect a generated answer to source text, but does not ensure that the answer is complete, addresses the question or uses an applicable provision. This interpretation is consistent with the broader RAG literature [1,2,9].</w:t>
      </w:r>
    </w:p>
    <w:p>
      <w:pPr/>
      <w:r>
        <w:rPr>
          <w:rFonts w:ascii="Arial" w:hAnsi="Arial" w:eastAsia="Arial" w:cs="Arial"/>
          <w:color w:val="000000"/>
        </w:rPr>
        <w:t>Figures 1 and 2 describe the workflow and benchmark. Figure 3 reports the overlapping development assessments and repair comparisons; Figure 4 reports the frozen author-led assessment. Together they show that high source-retrieval scores can coexist with missing clauses, incomplete answers and refusal failures.</w:t>
      </w:r>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p>
    <w:p>
      <w:r>
        <w:rPr>
          <w:rFonts w:ascii="Arial" w:hAnsi="Arial" w:eastAsia="Arial" w:cs="Arial"/>
          <w:color w:val="000000"/>
        </w:rP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rPr>
          <w:rFonts w:ascii="Arial" w:hAnsi="Arial" w:eastAsia="Arial" w:cs="Arial"/>
          <w:color w:val="000000"/>
        </w:rP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rPr>
          <w:rFonts w:ascii="Arial" w:hAnsi="Arial" w:eastAsia="Arial" w:cs="Arial"/>
          <w:color w:val="000000"/>
        </w:rP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rPr>
          <w:rFonts w:ascii="Arial" w:hAnsi="Arial" w:eastAsia="Arial" w:cs="Arial"/>
          <w:color w:val="000000"/>
        </w:rP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rPr>
          <w:rFonts w:ascii="Arial" w:hAnsi="Arial" w:eastAsia="Arial" w:cs="Arial"/>
          <w:color w:val="000000"/>
        </w:rP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rPr>
          <w:rFonts w:ascii="Arial" w:hAnsi="Arial" w:eastAsia="Arial" w:cs="Arial"/>
          <w:color w:val="000000"/>
        </w:rP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rPr>
          <w:rFonts w:ascii="Arial" w:hAnsi="Arial" w:eastAsia="Arial" w:cs="Arial"/>
          <w:color w:val="000000"/>
        </w:rP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rPr>
          <w:rFonts w:ascii="Arial" w:hAnsi="Arial" w:eastAsia="Arial" w:cs="Arial"/>
          <w:color w:val="000000"/>
        </w:rP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p>
    <w:p>
      <w:r>
        <w:rPr>
          <w:rFonts w:ascii="Arial" w:hAnsi="Arial" w:eastAsia="Arial" w:cs="Arial"/>
          <w:color w:val="000000"/>
        </w:rPr>
        <w:t>A controlled development follow-up used 213 unique generations with three repeats per fixed condition, no external judge, and local unblinded AI-assisted inspection (Supplementary S34). For AV_015, both languages, the original policy refused in 6/6 saved-context responses, whereas the revised policy provided supported update triggers and electronic submission while identifying the absent deadline in 6/6; unrelated appended text reproduced this contrast. For AV_014, direct clauses recovered the literature-evidence requirement in 6/6 revised responses, compared with canonical refusals in 6/6 saved and 6/6 length-control responses. This was component recovery, not full-task success. For AV_008 English, all 18 responses with direct Article 9 evidence answered the contingency-plan task despite related or unrelated appended passages; all six without Article 9 discussed the Risk Minimization Plan, including three with a relevance reminder. An explicit refusal branch reduced cited canonical refusals from 8/9 to 0/9 on three selected questions. All 36 minimal-context language responses were English, so translation and a stronger language reminder showed no incremental benefit. Identical prompts still varied in response language and refusal behavior. Missing clauses and refusal policy contributed to these selected failures, but neither explains every error. Source-language effects in complex contexts, interactions between instructions, and generalization remain unresolved. These development tests do not establish a reliable repair or change the original 10/20 human-reviewed bilingual-pair result. No revised prompt was deployed.</w:t>
      </w:r>
    </w:p>
    <w:p>
      <w:r>
        <w:rPr>
          <w:rFonts w:ascii="Arial" w:hAnsi="Arial" w:eastAsia="Arial" w:cs="Arial"/>
          <w:color w:val="000000"/>
        </w:rPr>
        <w:t>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p>
    <w:p>
      <w:pPr/>
      <w:r>
        <w:rPr>
          <w:rFonts w:ascii="Arial" w:hAnsi="Arial" w:eastAsia="Arial" w:cs="Arial"/>
          <w:color w:val="000000"/>
        </w:rP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rPr>
          <w:rFonts w:ascii="Arial" w:hAnsi="Arial" w:eastAsia="Arial" w:cs="Arial"/>
          <w:color w:val="000000"/>
        </w:rP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rPr>
          <w:rFonts w:ascii="Arial" w:hAnsi="Arial" w:eastAsia="Arial" w:cs="Arial"/>
          <w:color w:val="000000"/>
        </w:rP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rPr>
          <w:rFonts w:ascii="Arial" w:hAnsi="Arial" w:eastAsia="Arial" w:cs="Arial"/>
          <w:color w:val="000000"/>
        </w:rP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author review of questions and generated answers, and critical revision of the manuscript. Both authors approved the final manuscript and agree to be accountable for the work.</w:t>
      </w:r>
    </w:p>
    <w:p>
      <w:pPr>
        <w:keepNext/>
        <w:keepLines/>
      </w:pPr>
      <w:r>
        <w:rPr>
          <w:rFonts w:ascii="Arial" w:hAnsi="Arial" w:eastAsia="Arial" w:cs="Arial"/>
          <w:color w:val="000000"/>
        </w:rPr>
        <w:t>Data Availability: The code, benchmark artifacts and revision snapshots are available at https://github.com/camontefusco/ANVISA_RAG_publication_repository_20260720. The revision package includes question-level results, scoring definitions, source URLs, checksums and the regulatory-text cleaning script. Historical outputs and original review files are preserved; derived analyses and corrections are stored separately. Full raw regulatory corpora, credentials and private reviewer coordination files are not redistributed in the submission package.</w:t>
      </w:r>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r>
        <w:rPr>
          <w:rFonts w:ascii="Arial" w:hAnsi="Arial" w:eastAsia="Arial" w:cs="Arial"/>
          <w:color w:val="000000"/>
        </w:rP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2"/>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2"/>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2"/>
          <w:color w:val="000000"/>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2"/>
          <w:color w:val="000000"/>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2"/>
          <w:color w:val="000000"/>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rFonts w:ascii="Arial" w:hAnsi="Arial" w:eastAsia="Arial" w:cs="Arial"/>
          <w:sz w:val="22"/>
          <w:color w:val="000000"/>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2"/>
          <w:color w:val="000000"/>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8. Agência Nacional de Vigilância Sanitária. Resolução RDC No. 9, de 20 de fevereiro de 2015. Regulation for clinical trials with medicines in Brazil. Revoked by RDC 945/2024, Art. 98, effective 1 January 2025. Historical corpus source. AnvisaLegis. Accessed 19 July 2026.</w:t>
      </w:r>
    </w:p>
    <w:p>
      <w:pPr>
        <w:spacing w:after="0" w:line="240" w:lineRule="auto" w:before="0"/>
      </w:pPr>
      <w:r>
        <w:rPr>
          <w:rFonts w:ascii="Arial" w:hAnsi="Arial" w:eastAsia="Arial" w:cs="Arial"/>
          <w:sz w:val="22"/>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2"/>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2"/>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2"/>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2"/>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2"/>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2"/>
          <w:color w:val="000000"/>
        </w:rPr>
        <w:t>15. Google AI for Developers. Gemini API models and GenerateContentResponse reference. https://ai.google.dev/gemini-api/docs/models; https://ai.google.dev/api/generate-content. Accessed 24 October 2026.</w:t>
      </w:r>
    </w:p>
    <w:p>
      <w:pPr>
        <w:spacing w:after="0" w:line="240" w:lineRule="auto" w:before="0"/>
      </w:pPr>
      <w:r>
        <w:rPr>
          <w:rFonts w:ascii="Arial" w:hAnsi="Arial" w:eastAsia="Arial" w:cs="Arial"/>
          <w:sz w:val="22"/>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2"/>
          <w:color w:val="000000"/>
        </w:rPr>
        <w:t>17. Zheng L, Chiang WL, Sheng Y, et al. Judging LLM-as-a-Judge with MT-Bench and Chatbot Arena. Advances in Neural Information Processing Systems. 2023;36.</w:t>
      </w:r>
    </w:p>
    <w:p>
      <w:pPr>
        <w:spacing w:after="0" w:line="240" w:lineRule="auto" w:before="0"/>
      </w:pPr>
      <w:r>
        <w:rPr>
          <w:rFonts w:ascii="Arial" w:hAnsi="Arial" w:eastAsia="Arial" w:cs="Arial"/>
          <w:sz w:val="22"/>
          <w:color w:val="000000"/>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rFonts w:ascii="Arial" w:hAnsi="Arial" w:eastAsia="Arial" w:cs="Arial"/>
          <w:sz w:val="22"/>
          <w:color w:val="000000"/>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rFonts w:ascii="Arial" w:hAnsi="Arial" w:eastAsia="Arial" w:cs="Arial"/>
          <w:sz w:val="22"/>
          <w:color w:val="000000"/>
        </w:rPr>
        <w:t>20. Sentence Transformers. all-MiniLM-L6-v2 model card. https://huggingface.co/sentence-transformers/all-MiniLM-L6-v2. Accessed 25 October 2026.</w:t>
      </w:r>
    </w:p>
    <w:p>
      <w:pPr>
        <w:spacing w:after="0" w:line="240" w:lineRule="auto" w:before="0"/>
      </w:pPr>
      <w:r>
        <w:rPr>
          <w:rFonts w:ascii="Arial" w:hAnsi="Arial" w:eastAsia="Arial" w:cs="Arial"/>
          <w:sz w:val="22"/>
          <w:color w:val="000000"/>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