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Methods. Six regulatory documents were indexed. Historical assessments produced 404 outputs: 150 internal questions, 75 English and 75 Portuguese repair outputs, 50 stress questions, 24 calibration questions and 30 post-calibration questions. Stages overlapped. An automated judge scored these outputs, with subsequent coauthor review of 94 selected answers. A further frozen author-led assessment comprised 40 questions in 20 bilingual pairs, all rated against their exact retrieved passages. Pair success required both languages to satisfy prespecified task and language criteria; 95% intervals were calculated at pair level.</w:t>
      </w:r>
    </w:p>
    <w:p>
      <w:pPr/>
      <w:r>
        <w:rPr>
          <w:rFonts w:ascii="Arial" w:hAnsi="Arial" w:eastAsia="Arial" w:cs="Arial"/>
          <w:color w:val="000000"/>
        </w:rPr>
        <w:t>Results. The index contained 382 articles and 481 chunks. Historical stress-assessment completeness averaged 0.943 among 40 answerable outputs (95% CI 0.873 to 0.990). In the frozen assessment, 10/20 pairs succeeded (50.0%; exact 95% CI 27.2 to 72.8%): 6/12 answerable, 0/4 partly answerable and 4/4 unanswerable pairs. Five English outputs were in Portuguese. Failures included missing retrieved provisions, supported information omitted by blanket refusals, and a cited answer to the wrong task.</w:t>
      </w:r>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rPr>
          <w:rFonts w:ascii="Arial" w:hAnsi="Arial" w:eastAsia="Arial" w:cs="Arial"/>
          <w:color w:val="000000"/>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rPr>
          <w:rFonts w:ascii="Arial" w:hAnsi="Arial" w:eastAsia="Arial" w:cs="Arial"/>
          <w:color w:val="000000"/>
        </w:rPr>
        <w:t>Development history and software provenance are provided in Supplementary Table S5 and the supplementary development provenance record.</w:t>
      </w:r>
    </w:p>
    <w:p>
      <w:pPr/>
      <w:r>
        <w:rPr>
          <w:rFonts w:ascii="Arial" w:hAnsi="Arial" w:eastAsia="Arial" w:cs="Arial"/>
          <w:color w:val="000000"/>
        </w:rP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rPr>
          <w:rFonts w:ascii="Arial" w:hAnsi="Arial" w:eastAsia="Arial" w:cs="Arial"/>
          <w:color w:val="000000"/>
        </w:rP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rPr>
          <w:rFonts w:ascii="Arial" w:hAnsi="Arial" w:eastAsia="Arial" w:cs="Arial"/>
          <w:color w:val="000000"/>
        </w:rP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rPr>
          <w:rFonts w:ascii="Arial" w:hAnsi="Arial" w:eastAsia="Arial" w:cs="Arial"/>
          <w:color w:val="000000"/>
        </w:rP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Benchmark. The constructed main benchmark contained 200 question rows organized as 100 Portuguese, 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rPr>
          <w:rFonts w:ascii="Arial" w:hAnsi="Arial" w:eastAsia="Arial" w:cs="Arial"/>
          <w:color w:val="000000"/>
        </w:rP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Streamlit interface. The local prototype displays a question field, a generated answer and retrieved passages with citation labels. The archived smoke test answered an English question in Portuguese under a bilingual setting. It therefore documents a language failure and cannot establish bilingual deployment performance or equivalence to the scripted evaluations. Figure S4 presents an interface schematic based on this display structure, not an altered screenshot or a separate performance test.</w:t>
      </w:r>
    </w:p>
    <w:p>
      <w:r>
        <w:rPr>
          <w:rFonts w:ascii="Arial" w:hAnsi="Arial" w:eastAsia="Arial" w:cs="Arial"/>
          <w:color w:val="000000"/>
        </w:rP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rPr>
          <w:rFonts w:ascii="Arial" w:hAnsi="Arial" w:eastAsia="Arial" w:cs="Arial"/>
          <w:color w:val="000000"/>
        </w:rP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rPr>
          <w:rFonts w:ascii="Arial" w:hAnsi="Arial" w:eastAsia="Arial" w:cs="Arial"/>
          <w:color w:val="000000"/>
        </w:rP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rPr>
          <w:rFonts w:ascii="Arial" w:hAnsi="Arial" w:eastAsia="Arial" w:cs="Arial"/>
          <w:color w:val="000000"/>
        </w:rP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rPr>
          <w:rFonts w:ascii="Arial" w:hAnsi="Arial" w:eastAsia="Arial" w:cs="Arial"/>
          <w:color w:val="000000"/>
        </w:rP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rPr>
          <w:rFonts w:ascii="Arial" w:hAnsi="Arial" w:eastAsia="Arial" w:cs="Arial"/>
          <w:color w:val="000000"/>
        </w:rP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r>
        <w:rPr>
          <w:rFonts w:ascii="Arial" w:hAnsi="Arial" w:eastAsia="Arial" w:cs="Arial"/>
          <w:color w:val="000000"/>
        </w:rPr>
        <w:t>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p>
    <w:p>
      <w:r>
        <w:rPr>
          <w:rFonts w:ascii="Arial" w:hAnsi="Arial" w:eastAsia="Arial" w:cs="Arial"/>
          <w:color w:val="000000"/>
        </w:rPr>
        <w:t>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rPr>
          <w:rFonts w:ascii="Arial" w:hAnsi="Arial" w:eastAsia="Arial" w:cs="Arial"/>
          <w:color w:val="000000"/>
        </w:rP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rPr>
          <w:rFonts w:ascii="Arial" w:hAnsi="Arial" w:eastAsia="Arial" w:cs="Arial"/>
          <w:color w:val="000000"/>
        </w:rP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rPr>
          <w:rFonts w:ascii="Arial" w:hAnsi="Arial" w:eastAsia="Arial" w:cs="Arial"/>
          <w:color w:val="000000"/>
        </w:rPr>
        <w:t>Retrieval baselines and component ablations</w:t>
      </w:r>
    </w:p>
    <w:p>
      <w:pPr/>
      <w:r>
        <w:rPr>
          <w:rFonts w:ascii="Arial" w:hAnsi="Arial" w:eastAsia="Arial" w:cs="Arial"/>
          <w:color w:val="000000"/>
        </w:rP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rPr>
          <w:rFonts w:ascii="Arial" w:hAnsi="Arial" w:eastAsia="Arial" w:cs="Arial"/>
          <w:color w:val="000000"/>
        </w:rP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rPr>
          <w:rFonts w:ascii="Arial" w:hAnsi="Arial" w:eastAsia="Arial" w:cs="Arial"/>
          <w:color w:val="000000"/>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AI-authored diagnostic stress test</w:t>
      </w:r>
    </w:p>
    <w:p>
      <w:pPr/>
      <w:r>
        <w:rPr>
          <w:rFonts w:ascii="Arial" w:hAnsi="Arial" w:eastAsia="Arial" w:cs="Arial"/>
          <w:color w:val="000000"/>
        </w:rP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The same test exposed refusal behavior as the main remaining weakness. Literal refusal detection for unanswerable/adversarial questions was 0.600, and AI-judge refusal correctness was 7/10 (0.700; 95% pair-cluster bootstrap CI 0.300 to 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In the later refusal-focused AI-authored test, the system correctly refused 17 of 18 unanswerable questions by AI-judge scoring, giving refusal correctness 0.944 (95% pair-cluster bootstrap CI 0.833 to 1.000; nine pairs), using the archived labels before the subsequent author adjudication reported below. It did not over-refuse the answerable controls: answerable-control faithfulness was 1.000, citation correctness was 1.000, and completeness was 0.908 (95% CI 0.792 to 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rPr>
          <w:rFonts w:ascii="Arial" w:hAnsi="Arial" w:eastAsia="Arial" w:cs="Arial"/>
          <w:color w:val="000000"/>
        </w:rP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rPr>
          <w:rFonts w:ascii="Arial" w:hAnsi="Arial" w:eastAsia="Arial" w:cs="Arial"/>
          <w:color w:val="000000"/>
        </w:rPr>
        <w:t>Author verification of selected outputs</w:t>
      </w:r>
    </w:p>
    <w:p>
      <w:pPr/>
      <w:r>
        <w:rPr>
          <w:rFonts w:ascii="Arial" w:hAnsi="Arial" w:eastAsia="Arial" w:cs="Arial"/>
          <w:color w:val="000000"/>
        </w:rP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p>
    <w:p>
      <w:pPr/>
      <w:r>
        <w:rPr>
          <w:rFonts w:ascii="Arial" w:hAnsi="Arial" w:eastAsia="Arial" w:cs="Arial"/>
          <w:color w:val="000000"/>
        </w:rP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rPr>
          <w:rFonts w:ascii="Arial" w:hAnsi="Arial" w:eastAsia="Arial" w:cs="Arial"/>
          <w:color w:val="000000"/>
        </w:rP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rPr>
          <w:rFonts w:ascii="Arial" w:hAnsi="Arial" w:eastAsia="Arial" w:cs="Arial"/>
          <w:color w:val="000000"/>
        </w:rP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rPr>
          <w:rFonts w:ascii="Arial" w:hAnsi="Arial" w:eastAsia="Arial" w:cs="Arial"/>
          <w:color w:val="000000"/>
        </w:rP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rPr>
          <w:rFonts w:ascii="Arial" w:hAnsi="Arial" w:eastAsia="Arial" w:cs="Arial"/>
          <w:color w:val="000000"/>
        </w:rP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rPr>
          <w:rFonts w:ascii="Arial" w:hAnsi="Arial" w:eastAsia="Arial" w:cs="Arial"/>
          <w:color w:val="000000"/>
        </w:rP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rPr>
          <w:rFonts w:ascii="Arial" w:hAnsi="Arial" w:eastAsia="Arial" w:cs="Arial"/>
          <w:color w:val="000000"/>
        </w:rP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rPr>
          <w:rFonts w:ascii="Arial" w:hAnsi="Arial" w:eastAsia="Arial" w:cs="Arial"/>
          <w:color w:val="000000"/>
        </w:rP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rPr>
          <w:rFonts w:ascii="Arial" w:hAnsi="Arial" w:eastAsia="Arial" w:cs="Arial"/>
          <w:color w:val="000000"/>
        </w:rP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rPr>
          <w:rFonts w:ascii="Arial" w:hAnsi="Arial" w:eastAsia="Arial" w:cs="Arial"/>
          <w:color w:val="000000"/>
        </w:rP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rPr>
          <w:rFonts w:ascii="Arial" w:hAnsi="Arial" w:eastAsia="Arial" w:cs="Arial"/>
          <w:color w:val="000000"/>
        </w:rP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rPr>
          <w:rFonts w:ascii="Arial" w:hAnsi="Arial" w:eastAsia="Arial" w:cs="Arial"/>
          <w:color w:val="000000"/>
        </w:rPr>
        <w:t>Frozen author-led assessment</w:t>
      </w:r>
    </w:p>
    <w:p>
      <w:pPr/>
      <w:r>
        <w:rPr>
          <w:rFonts w:ascii="Arial" w:hAnsi="Arial" w:eastAsia="Arial" w:cs="Arial"/>
          <w:color w:val="000000"/>
        </w:rPr>
        <w:t>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p>
    <w:p>
      <w:pPr/>
      <w:r>
        <w:rPr>
          <w:rFonts w:ascii="Arial" w:hAnsi="Arial" w:eastAsia="Arial" w:cs="Arial"/>
          <w:color w:val="000000"/>
        </w:rPr>
        <w:t>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p>
    <w:p>
      <w:r>
        <w:rPr>
          <w:rFonts w:ascii="Arial" w:hAnsi="Arial" w:eastAsia="Arial" w:cs="Arial"/>
          <w:color w:val="000000"/>
        </w:rPr>
        <w:t>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p>
    <w:p>
      <w:pPr>
        <w:pStyle w:val="Heading2"/>
      </w:pPr>
      <w:r>
        <w:rPr>
          <w:rFonts w:ascii="Arial" w:hAnsi="Arial" w:eastAsia="Arial" w:cs="Arial"/>
          <w:color w:val="000000"/>
        </w:rPr>
        <w:t>Summary of quantitative evaluation</w:t>
      </w:r>
    </w:p>
    <w:p>
      <w:pPr/>
      <w:r>
        <w:rPr>
          <w:rFonts w:ascii="Arial" w:hAnsi="Arial" w:eastAsia="Arial" w:cs="Arial"/>
          <w:color w:val="000000"/>
        </w:rP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rPr>
          <w:rFonts w:ascii="Arial" w:hAnsi="Arial" w:eastAsia="Arial" w:cs="Arial"/>
          <w:color w:val="000000"/>
        </w:rP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The findings support a bilingual prototype for locating evidence within a closed corpus of selected ANVISA documents. Citation can connect a generated answer to source text, but does not ensure that the answer is complete, addresses the question or uses an applicable provision. This interpretation is consistent with the broader RAG literature [1,2,9].</w:t>
      </w:r>
    </w:p>
    <w:p>
      <w:pPr/>
      <w:r>
        <w:rPr>
          <w:rFonts w:ascii="Arial" w:hAnsi="Arial" w:eastAsia="Arial" w:cs="Arial"/>
          <w:color w:val="000000"/>
        </w:rPr>
        <w:t>Figures 1 and 2 describe the workflow and benchmark. Figure 3 reports the overlapping development assessments and repair comparisons; Figure 4 reports the frozen author-led assessment. Together they show that high source-retrieval scores can coexist with missing clauses, incomplete answers and refusal failures.</w:t>
      </w:r>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p>
    <w:p>
      <w:r>
        <w:rPr>
          <w:rFonts w:ascii="Arial" w:hAnsi="Arial" w:eastAsia="Arial" w:cs="Arial"/>
          <w:color w:val="000000"/>
        </w:rP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rPr>
          <w:rFonts w:ascii="Arial" w:hAnsi="Arial" w:eastAsia="Arial" w:cs="Arial"/>
          <w:color w:val="000000"/>
        </w:rP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rPr>
          <w:rFonts w:ascii="Arial" w:hAnsi="Arial" w:eastAsia="Arial" w:cs="Arial"/>
          <w:color w:val="000000"/>
        </w:rP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rPr>
          <w:rFonts w:ascii="Arial" w:hAnsi="Arial" w:eastAsia="Arial" w:cs="Arial"/>
          <w:color w:val="000000"/>
        </w:rP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rPr>
          <w:rFonts w:ascii="Arial" w:hAnsi="Arial" w:eastAsia="Arial" w:cs="Arial"/>
          <w:color w:val="000000"/>
        </w:rP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rPr>
          <w:rFonts w:ascii="Arial" w:hAnsi="Arial" w:eastAsia="Arial" w:cs="Arial"/>
          <w:color w:val="000000"/>
        </w:rP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rPr>
          <w:rFonts w:ascii="Arial" w:hAnsi="Arial" w:eastAsia="Arial" w:cs="Arial"/>
          <w:color w:val="000000"/>
        </w:rP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rPr>
          <w:rFonts w:ascii="Arial" w:hAnsi="Arial" w:eastAsia="Arial" w:cs="Arial"/>
          <w:color w:val="000000"/>
        </w:rP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p>
    <w:p>
      <w:r>
        <w:rPr>
          <w:rFonts w:ascii="Arial" w:hAnsi="Arial" w:eastAsia="Arial" w:cs="Arial"/>
          <w:color w:val="000000"/>
        </w:rPr>
        <w:t>The exploratory prompt comparison supports the blanket-refusal policy as one contributor to omitted supported information: with identical passages, AI-assisted inspection found coverage of all available requested content in 1/5 eligible partly answerable outputs under the original prompt and 5/5 under the revision. It does not establish that instruction wording alone explains the failures. Required clauses remained absent, limiting full-task partly answerable success to 1/4 bilingual pairs under the revision. Permitting partial answers also produced related but unrequested content, including a Risk Minimization Plan instead of a contingency plan and an API definition instead of dossier requirements. These cases suggest that source support and relevance to the exact requested task need separate checks. Portuguese answers to English questions and citations appended to blanket refusals show additional instruction-compliance failures. Influence of Portuguese source text on response language is a possible explanation, not an isolated experimental finding. The original prompt itself produced one useful partial answer, demonstrating that the refusal instruction did not determine every output. One generation per condition, changed prompt wording and length, and unblinded AI-assisted inspection leave stochastic variation and interacting instructions unresolved. The diagnostic supports a mixed, limited explanation; it does not establish a reliable repair or change the original 10/20 human-reviewed result. No revised prompt was deployed.</w:t>
      </w:r>
    </w:p>
    <w:p>
      <w:r>
        <w:rPr>
          <w:rFonts w:ascii="Arial" w:hAnsi="Arial" w:eastAsia="Arial" w:cs="Arial"/>
          <w:color w:val="000000"/>
        </w:rPr>
        <w:t>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p>
    <w:p>
      <w:pPr/>
      <w:r>
        <w:rPr>
          <w:rFonts w:ascii="Arial" w:hAnsi="Arial" w:eastAsia="Arial" w:cs="Arial"/>
          <w:color w:val="000000"/>
        </w:rP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rPr>
          <w:rFonts w:ascii="Arial" w:hAnsi="Arial" w:eastAsia="Arial" w:cs="Arial"/>
          <w:color w:val="000000"/>
        </w:rPr>
        <w:t>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p>
    <w:p>
      <w:r>
        <w:rPr>
          <w:rFonts w:ascii="Arial" w:hAnsi="Arial" w:eastAsia="Arial" w:cs="Arial"/>
          <w:color w:val="000000"/>
        </w:rP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rPr>
          <w:rFonts w:ascii="Arial" w:hAnsi="Arial" w:eastAsia="Arial" w:cs="Arial"/>
          <w:color w:val="000000"/>
        </w:rP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author review of questions and generated answers, and critical revision of the manuscript. Both authors approved the final manuscript and agree to be accountable for the work.</w:t>
      </w:r>
    </w:p>
    <w:p>
      <w:pPr>
        <w:keepNext/>
        <w:keepLines/>
      </w:pPr>
      <w:r>
        <w:rPr>
          <w:rFonts w:ascii="Arial" w:hAnsi="Arial" w:eastAsia="Arial" w:cs="Arial"/>
          <w:color w:val="000000"/>
        </w:rPr>
        <w:t>Data Availability: The code, benchmark artifacts and revision snapshots are available at https://github.com/camontefusco/ANVISA_RAG_publication_repository_20260720. The revision package includes question-level results, scoring definitions, source URLs, checksums and the regulatory-text cleaning script. Historical outputs and original review files are preserved; derived analyses and corrections are stored separately. Full raw regulatory corpora, credentials and private reviewer coordination files are not redistributed in the submission package.</w:t>
      </w:r>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r>
        <w:rPr>
          <w:rFonts w:ascii="Arial" w:hAnsi="Arial" w:eastAsia="Arial" w:cs="Arial"/>
          <w:color w:val="000000"/>
        </w:rP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2"/>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2"/>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2"/>
          <w:color w:val="000000"/>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2"/>
          <w:color w:val="000000"/>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2"/>
          <w:color w:val="000000"/>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rFonts w:ascii="Arial" w:hAnsi="Arial" w:eastAsia="Arial" w:cs="Arial"/>
          <w:sz w:val="22"/>
          <w:color w:val="000000"/>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2"/>
          <w:color w:val="000000"/>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8. Agência Nacional de Vigilância Sanitária. Resolução RDC No. 9, de 20 de fevereiro de 2015. Regulation for clinical trials with medicines in Brazil. Revoked by RDC 945/2024, Art. 98, effective 1 January 2025. Historical corpus source. AnvisaLegis. Accessed 19 July 2026.</w:t>
      </w:r>
    </w:p>
    <w:p>
      <w:pPr>
        <w:spacing w:after="0" w:line="240" w:lineRule="auto" w:before="0"/>
      </w:pPr>
      <w:r>
        <w:rPr>
          <w:rFonts w:ascii="Arial" w:hAnsi="Arial" w:eastAsia="Arial" w:cs="Arial"/>
          <w:sz w:val="22"/>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2"/>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2"/>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2"/>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2"/>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2"/>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2"/>
          <w:color w:val="000000"/>
        </w:rPr>
        <w:t>15. Google AI for Developers. Gemini API models and GenerateContentResponse reference. https://ai.google.dev/gemini-api/docs/models; https://ai.google.dev/api/generate-content. Accessed 24 October 2026.</w:t>
      </w:r>
    </w:p>
    <w:p>
      <w:pPr>
        <w:spacing w:after="0" w:line="240" w:lineRule="auto" w:before="0"/>
      </w:pPr>
      <w:r>
        <w:rPr>
          <w:rFonts w:ascii="Arial" w:hAnsi="Arial" w:eastAsia="Arial" w:cs="Arial"/>
          <w:sz w:val="22"/>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2"/>
          <w:color w:val="000000"/>
        </w:rPr>
        <w:t>17. Zheng L, Chiang WL, Sheng Y, et al. Judging LLM-as-a-Judge with MT-Bench and Chatbot Arena. Advances in Neural Information Processing Systems. 2023;36.</w:t>
      </w:r>
    </w:p>
    <w:p>
      <w:pPr>
        <w:spacing w:after="0" w:line="240" w:lineRule="auto" w:before="0"/>
      </w:pPr>
      <w:r>
        <w:rPr>
          <w:rFonts w:ascii="Arial" w:hAnsi="Arial" w:eastAsia="Arial" w:cs="Arial"/>
          <w:sz w:val="22"/>
          <w:color w:val="000000"/>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rFonts w:ascii="Arial" w:hAnsi="Arial" w:eastAsia="Arial" w:cs="Arial"/>
          <w:sz w:val="22"/>
          <w:color w:val="000000"/>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rFonts w:ascii="Arial" w:hAnsi="Arial" w:eastAsia="Arial" w:cs="Arial"/>
          <w:sz w:val="22"/>
          <w:color w:val="000000"/>
        </w:rPr>
        <w:t>20. Sentence Transformers. all-MiniLM-L6-v2 model card. https://huggingface.co/sentence-transformers/all-MiniLM-L6-v2. Accessed 25 October 2026.</w:t>
      </w:r>
    </w:p>
    <w:p>
      <w:pPr>
        <w:spacing w:after="0" w:line="240" w:lineRule="auto" w:before="0"/>
      </w:pPr>
      <w:r>
        <w:rPr>
          <w:rFonts w:ascii="Arial" w:hAnsi="Arial" w:eastAsia="Arial" w:cs="Arial"/>
          <w:sz w:val="22"/>
          <w:color w:val="000000"/>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