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Bilingual Retrieval-Augmented Access to ANVISA Regulatory Documents: A Technical Evaluation Using Drug-Development and Health-Product Questions</w:t>
      </w:r>
    </w:p>
    <w:p>
      <w:pPr/>
      <w:r>
        <w:t>Authors: Carlos Victor Montefusco-Pereira1*, Howard Lopes Ribeiro Junior2</w:t>
      </w:r>
    </w:p>
    <w:p>
      <w:pPr/>
      <w:r>
        <w:t>1 Independent Researcher in Data Science and Artificial Intelligence in Industrial Pharmaceutics, Berlin, Germany</w:t>
      </w:r>
    </w:p>
    <w:p>
      <w:pPr/>
      <w:r>
        <w:t>2 Center for Research and Drug Development (NPDM), Federal University of Ceará, Fortaleza 60430-275, Brazil; Post-Graduate Program in Pathology, Federal University of Ceará, Fortaleza, Brazil; Post-Graduate Program in Translational Medicine, Federal University of Ceará, Fortaleza, Brazil</w:t>
      </w:r>
    </w:p>
    <w:p>
      <w:pPr/>
      <w:r>
        <w:t>ORCID: Carlos Victor Montefusco-Pereira, 0000-0003-4167-4653; Howard Lopes Ribeiro Junior, 0000-0003-2431-4779</w:t>
      </w:r>
    </w:p>
    <w:p>
      <w:pPr/>
      <w:r>
        <w:t>Corresponding author: Carlos Victor Montefusco-Pereira. Friedrich-Wilhelm 28, 12103 Berlin, Germany. Email: cmontefusco@gmail.com. Phone: +49 15168108538.</w:t>
      </w:r>
    </w:p>
    <w:p>
      <w:pPr/>
      <w:r>
        <w:t>Keywords: regulatory science; ANVISA; retrieval-augmented generation; clinical trials; pharmacovigilance; biological products and medical devices</w:t>
      </w:r>
    </w:p>
    <w:p>
      <w:pPr/>
      <w:r>
        <w:t>Abbreviations: ANVISA, Agência Nacional de Vigilância Sanitária;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pageBreakBefore/>
      </w:pPr>
      <w:r>
        <w:t>Abstract</w:t>
      </w:r>
    </w:p>
    <w:p>
      <w:pPr/>
      <w:r>
        <w:t>Background. Regulatory teams often need to interpret long health-authority documents while working across languages. In Brazil, many regulatory sources are published in Portuguese, while companies and scientists may ask questions in English.</w:t>
      </w:r>
    </w:p>
    <w:p>
      <w:pPr/>
      <w:r>
        <w:t>Objective. To evaluate whether a bilingual retrieval-augmented generation prototype could locate, cite, and summarize selected ANVISA regulatory requirements relevant to drug development and health-product regulation.</w:t>
      </w:r>
    </w:p>
    <w:p>
      <w:pPr/>
      <w:r>
        <w:t>Methods. Six ANVISA documents were indexed for bilingual retrieval and answer generation. Evaluations comprised 150 internal questions (75 bilingual pairs), 75 English and 75 Portuguese repair outputs reusing those questions, a 50-question diagnostic stress assessment (40 answerable; 10 unanswerable), 24 calibration questions (8 answerable; 16 unanswerable), and 30 post-calibration questions (12 answerable; 18 unanswerable). These 404 outputs represented 254 distinct question IDs; later sets also overlapped in content. An AI judge scored answer quality and refusal. We calculated 95% percentile bootstrap confidence intervals by resampling question pairs. An AI-assisted, unblinded coauthor review covered 94 selected historical outputs.</w:t>
      </w:r>
    </w:p>
    <w:p>
      <w:pPr/>
      <w:r>
        <w:t>Results. The index contained 382 articles and 481 chunks. Among 40 originally answerable stress-assessment outputs, mean completeness was 0.943 (95% CI 0.873–0.990) and citation correctness was 0.975 (0.925–1.000). After corresponding-author adjudication, appropriate refusals in the reviewed unanswerable strata were 4/4 stress outputs and 12/12 post-calibration outputs (2/2 and 6/6 bilingual pairs; exact pair-level 95% CIs 15.8–100.0% and 54.1–100.0%). Six outputs were reclassified answerable and twelve partly answerable. These are descriptive findings from AI-assisted, unblinded author review of development assessments; independent blinded validation remains outstanding.</w:t>
      </w:r>
    </w:p>
    <w:p>
      <w:pPr/>
      <w: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pageBreakBefore/>
      </w:pPr>
      <w:r>
        <w:t>Introduction</w:t>
      </w:r>
    </w:p>
    <w:p>
      <w:pPr/>
      <w:r>
        <w:t>Drug-development decisions often begin with a narrow regulatory question. A sponsor may need to determine the documentation, notification deadlines and implementation conditions for suspending a Clinical Drug Development Dossier (DDCM) under RDC 945/2024, Articles 85 and 89 [7], and to establish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 This present-day suspension example refers to RDC 945/2024, rather than Article 50 of the revoked RDC 9/2015 used in some archived benchmark gold answers [7,8].</w:t>
      </w:r>
    </w:p>
    <w:p>
      <w:pPr/>
      <w: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r>
        <w:t>Retrieval-augmented generation (RAG) systems may help by retrieving source passages before generating an answer [1,9]. Prior work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r>
        <w:t>This article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pPr>
      <w:r>
        <w:t>Materials and Methods</w:t>
      </w:r>
    </w:p>
    <w:p>
      <w:pPr/>
      <w:r>
        <w:t>Study design. 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r>
        <w:t>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baseline and repair runs, the first AI-authored diagnostic stress test, and a later refusal-focused AI-authored test. This separation is important because internal scores can be inflated when the same project team writes questions, reviews errors, and repairs the system.</w:t>
      </w:r>
    </w:p>
    <w:p>
      <w:pPr/>
      <w:r>
        <w:t>Regulatory corpus. The corpus included six selected ANVISA documents covering clinical trials, biological products, medical devices, pharmacovigilance, and reliance-based review [3-8]. The selected documents concern common drug-development and health-product topics; this selection did not establish that every indexed provision was in force at evaluation. The final corpus included IN 338/2024, RDC 406/2020, RDC 55/2010, RDC 751/2022, RDC 945/2024, and RDC 9/2015. Corpus composition and use cases are summarized in Table 1. RDC 9/2015 was already revoked by Article 98 of RDC 945/2024 when these evaluations were conducted; Anvisa identifies 1 January 2025 as the latter regulation’s effective date. Its presence in the archived corpus and gold answers is a benchmark limitation, not a deliberately designed temporal-validity test. Article 90 of RDC 945/2024 contains submission-date transitional provisions; applicability cannot be inferred for a benchmark question without the relevant dates [7,8].</w:t>
      </w:r>
    </w:p>
    <w:p>
      <w:pPr/>
      <w:r>
        <w:t>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 Identifier and topic checks did not establish consolidated legal validity. A subsequent status audit checked official texts on 23 October 2026 and identified 18 additional constructed-benchmark rows citing wholly revoked articles of RDC 55/2010, alongside the 28 rows citing revoked RDC 9/2015 (46 of 200 rows, or 23 bilingual pairs). The RDC 55/2010 revocations follow RDC 875/2024 and RDC 948/2024 [18,19]. Consolidated texts also show amendments under IN 345/2025, RDC 777/2023 and RDC 718/2022 for IN 338/2024, RDC 751/2022 and RDC 406/2020, respectively. Supplementary Table S9 records the source checks and their limits; whole-article exposure counts do not certify the remaining gold answers.</w:t>
      </w:r>
    </w:p>
    <w:p>
      <w:pPr/>
      <w:r>
        <w:t>Software and implementation. The prototype and evaluation scripts were implemented in Python 3.10. The environment file specified numpy 1.26, python-dotenv, PyTorch, sentence-transformers, ragas, Streamlit, LlamaIndex, llama-index-core, llama-index-embeddings-huggingface, llama-index-llms-google-genai, and rank-bm25 0.2.2 [10-15].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 Additional implementation and reproducibility details are provided in Supplementary Information and Supplementary Methods and Prompts.</w:t>
      </w:r>
    </w:p>
    <w:p>
      <w:pPr/>
      <w:r>
        <w:t>Development history and software provenance are provided in Supplementary Table S5 and the supplementary development provenance record.</w:t>
      </w:r>
    </w:p>
    <w:p>
      <w:pPr/>
      <w:r>
        <w:t>Answer generation and automated judging both requested models/gemini-flash-lite-latest, an unpinned alias. The archived records do not preserve the resolved backend model versions; the July runs therefore cannot be identified as Gemini 2.5 Flash-Lite from a documentation citation [15]. Initial answers were generated on 10 July 2026 and judged on 14 July; the reported English repair artifact used 17 July generation/judging, while the Portuguese repair artifact retained 10 July answers and 14 July scores alongside 18 July replacements/rejudges. Diagnostic and calibration outputs were recorded on 18 July 2026. Supplementary Table S10 separates run dates, merge provenance and missing metadata; timestamps are reported as stored because timezone information was absent. Embeddings used sentence-transformers/all-MiniLM-L6-v2 and reranking used cross-encoder/mmarco-mMiniLMv2-L12-H384-v1, with local cache snapshots recorded separately. Exact hosted-model replication is limited by the missing resolved versions.</w:t>
      </w:r>
    </w:p>
    <w:p>
      <w:pPr/>
      <w:r>
        <w:t>Corpus cleaning and article-aware chunking. 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r>
        <w:t>Article chunking used LlamaIndex’s default tiktoken cl100k_base tokenizer: articles up to 500 tokens remained intact; longer articles were sentence-split with a 400-token target and 60-token overlap. Heading context was then prepended. The six-source index contained 382 article records and 481 chunks: 359 articles remained intact and 23 were split. Chunk counts, including heading context, had median 155 and maximum 503 cl100k_base tokens. Embedding used the cached MiniLM WordPiece tokenizer, a different unit, with an explicit maximum length of 512 including special tokens. The inspected LlamaIndex HuggingFaceEmbedding wrapper calls AutoModel/AutoTokenizer with truncation enabled; it does not apply the SentenceTransformer default of 256. Re-tokenization of all 481 saved node texts reproduced every stored cl100k_base count; 182 exceeded 256 WordPiece tokens and 35 (7.3%) exceeded 512, with a maximum of 866. These 35 inputs would be truncated under the recorded configuration; full node text remained available for keyword retrieval and later context use. This reconstruction is not a historical per-call trace and is distinct from the paired retrieval sensitivity analysis. Supplementary audit S11 provides node-level counts. A subsequent paired analysis held node identities, text and queries fixed, comparing 512-token prefix embeddings against length-weighted averages of normalized embeddings of nonoverlapping windows containing at most 510 payload WordPieces plus special tokens. Only the 35 overlength nodes changed. The cached model reproduced all 481 archived vectors (minimum cosine similarity 0.99999976). All 160 answerable development questions (80 bilingual pairs) were evaluated with original queries; offline English glossary expansion and a 256-token document cap were sensitivity checks. Dense and BM25/dense reciprocal-rank-fused candidate rankings were scored against archived gold citations; paired 95% intervals used 10,000 bilingual-pair bootstrap resamples. That candidate-stage comparison preceded the targeted final-reranking follow-up; the three-repeat answer comparison was subsequently completed with 300 answers and 300 automated evaluations. Figure 1 shows the workflow.</w:t>
      </w:r>
    </w:p>
    <w:p>
      <w:pPr/>
      <w:r>
        <w:t>Retrieval, reranking, and answer generation. Retrieval combined dense vector search and keyword search. Dense retrieval used the sentence-transformers embedding model [11]. Keyword retrieval used BM25 over normalized text created from chunk content and metadata fields, including regulation identifier, document aliases, title, citation label, chapter, section, and topic tags [12]. Normalization removed accents, lowercased text, and extracted alphanumeric tokens.</w:t>
      </w:r>
    </w:p>
    <w:p>
      <w:pPr/>
      <w: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this choice was based on multilingual passage-ranking models trained on mMARCO-style data [13]. The final answer context contained the top 5 reranked passages.</w:t>
      </w:r>
    </w:p>
    <w:p>
      <w:r>
        <w:t>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p>
    <w:p>
      <w:r>
        <w:t>Retrieval-component comparisons used all 160 answerable development questions (80 bilingual pairs), the fixed 481-node historical index and archived gold citations. English retrieval queries used the saved offline glossary expansion; Portuguese queries were unchanged, and reranking used the original question. We compared BM25, dense retrieval, fusion, reranking without anchors, and sequential restoration of query anchors, article/lexical anchor rules and neighbor expansion. Raw top-five node results and citation-diversified top-five results were reported separately; like-for-like contrasts retained citation diversification. The implemented embedding wrapper used CLS pooling. A separate diagnostic applied the model card’s attention-mask-weighted mean pooling [20] with the same checkpoint and 512-token cap. Paired 95% intervals used 10,000 bilingual-pair bootstrap resamples; these exploratory intervals were not adjusted for multiple comparisons. No new answer-generation or judge calls were used for these ablations.</w:t>
      </w:r>
    </w:p>
    <w:p>
      <w:pPr/>
      <w:r>
        <w:t>English retrieval used a deterministic glossary-expansion mode in the archived publication evaluator, rather than merely six illustrative anchors. This mode retains the English question, extracts regulatory identifiers and appends matched Portuguese terms from a 114-entry glossary. A separate Translator mode uses a model to rewrite into Portuguese and then appends glossary matches; its smoke-test output does not establish its use in the publication runs. The evaluator selects these modes explicitly and, in the audited glossary/original configuration, uses the original question for 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 to benchmark failures; the reused question sets are development data.</w:t>
      </w:r>
    </w:p>
    <w:p>
      <w:pPr/>
      <w: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r>
        <w:t>Benchmark. The constructed main benchmark contained 200 question rows organized as 100 Portuguese–English pairs: 140 direct-article questions, 20 multi-article or exception questions, and 40 unanswerable or adversarial questions. Each language had 100 rows (80 answerable and 20 unanswerable). This construction total is distinct from the evaluated sample sizes. The initial internal evaluation used 150 rows, comprising 120 answerable and 30 unanswerable questions; its 75 English and 75 Portuguese questions were reused in the respective repair stages. Across all six reported stages there were 404 outputs and 254 distinct question IDs, without implying semantic independence of those IDs. The audit recorded 78 unique gold article citations. Gold answers cited RDC 9/2015 in 28 of the 200 question rows (14 bilingual pairs), including 18 of the 150 initial evaluation rows. These counts identify exposure to a revoked source, not the number of answers adjudicated incorrect under current law. Figure 2 reports distinct question rows per source; multiple articles from the same regulation in one question count once. Benchmark structure and archived gold source coverage are shown in Figure 2; evaluated denominators are provided in Supplementary Table S7.</w:t>
      </w:r>
    </w:p>
    <w:p>
      <w:pPr/>
      <w: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r>
        <w:t>Automated AI judge and scoring rules. Automated judging was used because an independent two-expert panel was not available. This limits the claim level. The automated judge was used as a structured technical scoring tool, not as an independent regulatory expert. The scoring dimensions followed common RAG-evaluation concepts such as faithfulness or groundedness, context-supported citation, answer completeness, and refusal for insufficient evidence [10,16,17].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 The judge was not independent of the answering system: both roles used the same configured Gemini alias. Unrecorded backend versions prevent asserting identical weights across dates, but do not make the judge an external evaluator. Automated scores and same-alias score changes cannot substitute for blinded human adjudication or establish that improvements were caused solely by pipeline changes.</w:t>
      </w:r>
    </w:p>
    <w:p>
      <w:pPr/>
      <w: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r>
        <w:t>Evaluation stages and leakage control. Development runs were used to identify and repair failures. The initial internal evaluation comprised 150 questions (75 English and 75 Portuguese). Subsequent English and Portuguese repair stages reused all 75 questions in their respective language subsets, with identical question IDs and text. Once these questions informed repair, the initial set served as an internal development baseline rather than an independent held-out test. Scores across these stages describe paired, within-language changes on reused development questions and do not establish generalization. When internal results became high, an AI-authored diagnostic stress test was run once to test whether the internal pattern generalized. Findings from this stress test informed subsequent refusal-prompt development. The 24-row calibration set contained three substantively equivalent bilingual question pairs from the 50-row stress test (six rows in each set), covering the current SUSAR notification form, the current medical-device notification fee, and the patient-identification premise. Four additional bilingual pairs had related content but asked narrower or differently framed questions. Different IDs and wording therefore did not establish independence. The later 30-row refusal-focused assessment was conducted after calibration and is interpreted as a diagnostic assessment within the same development programme, not independent validation.</w:t>
      </w:r>
    </w:p>
    <w:p>
      <w:pPr/>
      <w:r>
        <w:t>The first AI-authored diagnostic stress test contained 50 questions organized as 25 bilingual pairs. It included 40 answerable questions and 10 unanswerable or adversarial questions. The first AI-authored diagnostic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r>
        <w:t>Statistical handling and audit trail. 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 For the revised abstract and Supplementary Table S8, confidence intervals were recalculated from archived question-level values with the same 2,000-resample method and seed. Both languages of a question pair were retained together; language-specific repair stages retained their evaluated language only. Intervals and denominators use the original answerability labels and remain conditional on those labels, the source snapshot and the automated judge. They do not incorporate uncertainty from label errors, outdated law or judge error. An all-identical set yields a degenerate percentile interval; this does not establish perfect population performance. No confidence interval for a between-set calibration effect is reported because the assessments differ and their development was not independent.</w:t>
      </w:r>
    </w:p>
    <w:p>
      <w:pPr/>
      <w: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r>
        <w:t>Streamlit interface. A Streamlit interface was built as a local user-facing prototype for interactive question answering. The app accepted a free-text regulatory question, passed it to the same retrieval and answer-generation pipeline used in the scripted evaluation, and displayed the generated answer together with retrieved source passages and article-level citation labels. The interface was used for runtime smoke testing and demonstration of the intended workflow, not as a separate evaluation dataset. A screenshot of a cited answer and retrieved sources is provided as Supplementary Figure 4.</w:t>
      </w:r>
    </w:p>
    <w:p>
      <w:r>
        <w:t>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 Following corresponding-author adjudication, refusal results were stratified by final archived-corpus answerability. For the small all-pass unanswerable strata, two-sided exact 95% binomial intervals used a bilingual-pair endpoint requiring both language outputs to be appropriate refusals. These intervals assume independent question pairs within each stratum and do not account for review or adjudication bias; they are distinct from the earlier output-mean bootstrap intervals.</w:t>
      </w:r>
    </w:p>
    <w:p>
      <w:r>
        <w:t>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p>
    <w:p>
      <w:r>
        <w:t>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p>
    <w:p>
      <w:r>
        <w:t>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p>
    <w:p>
      <w:r>
        <w:t>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p>
    <w:p>
      <w:r>
        <w:t>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 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p>
    <w:p>
      <w:pPr>
        <w:pStyle w:val="Heading1"/>
      </w:pPr>
      <w:r>
        <w:t>Results</w:t>
      </w:r>
    </w:p>
    <w:p>
      <w:pPr>
        <w:pStyle w:val="Heading2"/>
      </w:pPr>
      <w:r>
        <w:t>Corpus and benchmark construction</w:t>
      </w:r>
    </w:p>
    <w:p>
      <w:pPr/>
      <w:r>
        <w:t>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 In the retrospective truncation sensitivity analysis, full-coverage window pooling increased mean dense article Recall@5 from 0.2969 to 0.3031. Hybrid candidate Recall@5 changed from 0.4625 to 0.4781 (paired difference 0.0156; 95% interval −0.0125 to 0.0438), with 4 questions improving and 2 worsening. Hybrid candidate Recall@100 remained 0.8625 overall, with one gain and one loss. With English glossary expansion, hybrid candidate Recall@5 changed from 0.5563 to 0.5625 (difference 0.0063; interval −0.0188 to 0.0313). These candidate-stage findings did not establish a consistent overall benefit and are not the final reranked retrieval metrics. Supplementary audit S11 addendum reports all conditions, regressions and uncertainty. A targeted follow-up applied the unchanged cross-encoder, anchor rules and context expansion to all 30 affected-gold questions and 20 seeded gold-unaffected controls (25 bilingual pairs). Final answer prompts changed in 6/30 affected questions and 4/20 controls. Final article Recall@5 in the affected stratum changed from 0.8000 to 0.8333 (one gain, no losses), while controls remained at 0.8000. The other 40 prompts were byte-identical across conditions. The three-repeat paired answer pilot was completed on 25–26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w:t>
      </w:r>
    </w:p>
    <w:p>
      <w:r>
        <w:t>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p>
    <w:p>
      <w:pPr/>
      <w:r>
        <w:t>The 200-question benchmark was balanced by language and included the intended mix of regulatory question types (Figure 2). Gold evidence covered 78 unique article citations. Distinct question-row counts were 28 each for RDC 9/2015, RDC 55/2010, RDC 751/2022 and RDC 406/2020, 26 for RDC 945/2024, and 22 for IN 338/2024. A question may cite more than one regulation. The original plotting input counted source entries within questions (30 rather than 28 for each of the first four regulations); the revised figure removes these within-question duplicates. Coverage describes the archived benchmark and does not establish regulatory validity, particularly for revoked RDC 9/2015. This structure was important because high performance on direct clinical-trial questions alone would not show whether the system handled rule-plus-exception or refusal boundaries.</w:t>
      </w:r>
    </w:p>
    <w:p>
      <w:pPr>
        <w:pStyle w:val="Heading2"/>
      </w:pPr>
      <w:r>
        <w:t>Retrieval baselines and component ablations</w:t>
      </w:r>
    </w:p>
    <w:p>
      <w:pPr/>
      <w:r>
        <w:t>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p>
    <w:p>
      <w:pPr/>
      <w:r>
        <w:t>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p>
    <w:p>
      <w:pPr>
        <w:pStyle w:val="Heading2"/>
      </w:pPr>
      <w:r>
        <w:t>Direct article questions</w:t>
      </w:r>
    </w:p>
    <w:p>
      <w:pPr/>
      <w: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pPr>
      <w:r>
        <w:t>Internal development metrics</w:t>
      </w:r>
    </w:p>
    <w:p>
      <w:pPr/>
      <w:r>
        <w:t>The initial internal baseline AI-judge evaluation showed high faithfulness but weaker completeness. Among 120 answerable internal baseline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r>
        <w:t>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All 75 English repair questions and all 75 Portuguese repair questions were reused from the initial 150-question internal baseline, with identical IDs and question text. Each language subset contained 60 answerable and 15 unanswerable questions. Among the same 60 answerable English questions, mean completeness increased from 0.645 to 0.995; among the same 60 answerable Portuguese questions, it increased from 0.970 to 0.995. These are paired descriptive comparisons on questions used for repair, not evidence of performance on unseen questions. No paired significance test is reported. The row-level judge outputs and stage recommendations are reported in Supplementary Data S2.</w:t>
      </w:r>
    </w:p>
    <w:p>
      <w:pPr/>
      <w:r>
        <w:t>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diagnostic stress test was therefore run as a challenge to the internal pattern. Its refusal correctness of 0.700 showed that the internal 1.000 refusal result was too narrow for reliability claims. The archived AI-judge dossier records diagnostic recommendations, and subsequent refusal calibration reused stress-test content, and the saturated-metric investigation is summarized in Supplementary Table S6. A separate citation audit identified RDC 9/2015 in 19 of the 150 initial generated answers, including nine whose gold citations did not name that regulation. Ten rows had both revoked gold and generated citations; the union was 27 exposed rows. For the final-report example, the 12-month deadline is also present in RDC 945/2024, Article 74(2), so an obsolete citation does not by itself establish a wrong deadline. Other answers mixed historical and current rules or answered a different question. These automated source comparisons have not been converted into human-verified current-law scores; historical grounding and citation scores must not be read as regulatory-validity measures.</w:t>
      </w:r>
    </w:p>
    <w:p>
      <w:pPr>
        <w:pStyle w:val="Heading2"/>
      </w:pPr>
      <w:r>
        <w:t>Completeness errors</w:t>
      </w:r>
    </w:p>
    <w:p>
      <w:pPr/>
      <w: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with expanded failure-to-repair categories in Supplementary Table S1. Representative answer outcomes are provided in Table 3 and expanded in Supplementary Table S2.</w:t>
      </w:r>
    </w:p>
    <w:p>
      <w:pPr>
        <w:pStyle w:val="Heading2"/>
      </w:pPr>
      <w:r>
        <w:t>AI-authored diagnostic stress test</w:t>
      </w:r>
    </w:p>
    <w:p>
      <w:pPr/>
      <w:r>
        <w:t>The first AI-authored diagnostic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r>
        <w:t>The same test exposed refusal behavior as the main remaining weakness. Literal refusal detection for unanswerable/adversarial questions was 0.600, and AI-judge refusal correctness was 7/10 (0.700; 95% pair-cluster bootstrap CI 0.300–1.000; five pairs), using the archived labels before the subsequent author adjudication reported below.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r>
        <w:t>Language-specific diagnostic-test results were similar but not identical. Among answerable diagnostic-test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pPr>
      <w:r>
        <w:t>Refusal calibration</w:t>
      </w:r>
    </w:p>
    <w:p>
      <w:pPr/>
      <w:r>
        <w:t>After the first AI-authored diagnostic stress test, refusal rules were revised using a 24-row calibration/development set (12 bilingual pairs) that overlapped the stress test in question content. An audit found no identical question strings or IDs, but identified three substantively equivalent bilingual pairs and four additional pairs with related content. The calibration set therefore cannot be described as independent of the stress test.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r>
        <w:t>In the later refusal-focused AI-authored test, the system correctly refused 17 of 18 unanswerable questions by AI-judge scoring, giving refusal correctness 0.944 (95% pair-cluster bootstrap CI 0.833–1.000; nine pairs), using the archived labels before the subsequent author adjudication reported below. It did not over-refuse the answerable controls: answerable-control faithfulness was 1.000, citation correctness was 1.000, and completeness was 0.908 (95% CI 0.792–1.000; 12 outputs in six pairs). Figure 3B displays these descriptive results from different question sets. The post-calibration refusal score was higher, while answerable-control completeness was lower than in the first diagnostic stress test. Because the sets differ and the stress-test findings informed calibration, these contrasts do not isolate a calibration effect or establish performance on an independently authored test. The question-level judge rationales and remaining boundary failure are reported in Supplementary Data S2.</w:t>
      </w:r>
    </w:p>
    <w:p>
      <w:pPr/>
      <w:r>
        <w:t>The remaining boundary problem involved questions where the corpus contained a related general rule but not the exact requested fact. This is a regulatory risk because related evidence can sound persuasive while still being insufficient. These observations identify a remaining refusal boundary; they do not establish an independently validated improvement.</w:t>
      </w:r>
    </w:p>
    <w:p>
      <w:pPr>
        <w:pStyle w:val="Heading2"/>
      </w:pPr>
      <w:r>
        <w:t>Author verification of selected outputs</w:t>
      </w:r>
    </w:p>
    <w:p>
      <w:pPr/>
      <w:r>
        <w:t>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48.2–80.9%) at the 0.80 judge threshold: 37 both passed, one both failed, 16 passed the judge but failed author review, and four showed the reverse. Restricting completeness to the 46 questions the author classified as answerable yielded 37/46 agreement (80.4%; interval 63.8–93.6%). These different denominators distinguish rating disagreement from answerability changes.</w:t>
      </w:r>
    </w:p>
    <w:p>
      <w:pPr/>
      <w:r>
        <w:t>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w:t>
      </w:r>
    </w:p>
    <w:p>
      <w:r>
        <w:t>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p>
    <w:p>
      <w:r>
        <w:t>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p>
    <w:p>
      <w:r>
        <w:t>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15.8–100.0%, 47.8–100.0% and 54.1–100.0%,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p>
    <w:p>
      <w:r>
        <w:t>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p>
    <w:p>
      <w:r>
        <w:t>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p>
    <w:p>
      <w:r>
        <w:t>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p>
    <w:p>
      <w:r>
        <w:t>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and sibling-chunk answer effects are not isolated by those comparisons; the subsequent individual-rule retrieval contrasts are reported below.</w:t>
      </w:r>
    </w:p>
    <w:p>
      <w:r>
        <w:t>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p>
    <w:p>
      <w:r>
        <w:t>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p>
    <w:p>
      <w:r>
        <w:t>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p>
    <w:p>
      <w:pPr>
        <w:pStyle w:val="Heading2"/>
      </w:pPr>
      <w:r>
        <w:t>Summary of quantitative evaluation</w:t>
      </w:r>
    </w:p>
    <w:p>
      <w:pPr/>
      <w:r>
        <w:t>Across the development path, the main metrics changed in ways that affected the project interpretation. Initial internal baseline answer completeness was 0.808 overall for answerable rows, with English completeness 0.645. After targeted English repair, the English repair set reached completeness 0.995. After Portuguese residual-quality repair, the Portuguese repair set reached completeness 0.995. The repair stages reused the English and Portuguese subsets of the initial evaluation. These results therefore quantify changes on development questions used for repair and do not provide an independent estimate of generalization.</w:t>
      </w:r>
    </w:p>
    <w:p>
      <w:pPr/>
      <w:r>
        <w:t>The first AI-authored diagnostic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later post-calibration AI-authored diagnostic assessment had refusal correctness 0.944 and answerable-control completeness 0.908. Its questions differed from the first stress test, and the calibration set reused stress-test question content; the score contrast is descriptive rather than an independent estimate of improvement. Thus the main residual problem shifted from retrieval and language support to the boundary between partial related evidence and sufficient evidence.</w:t>
      </w:r>
    </w:p>
    <w:p>
      <w:pPr>
        <w:pStyle w:val="Heading1"/>
      </w:pPr>
      <w:r>
        <w:t>Discussion</w:t>
      </w:r>
    </w:p>
    <w:p>
      <w:pPr>
        <w:pStyle w:val="Heading2"/>
      </w:pPr>
      <w:r>
        <w:t>Interpretation of the development path</w:t>
      </w:r>
    </w:p>
    <w:p>
      <w:pPr/>
      <w:r>
        <w:t>The main finding is not that the system achieved high average scores. The main finding is that a bilingual RAG prototype can support traceable access to selected ANVISA documents when it is treated as a closed-corpus evidence-location tool rather than as a regulatory-advice system. This interpretation is consistent with the broader RAG literature, which frames retrieval as a way to connect generation to external evidence, and with prior regulatory work showing that generative AI search can cite useful sources while still producing incomplete or incorrect answers [1,2,9].</w:t>
      </w:r>
    </w:p>
    <w:p>
      <w:pPr/>
      <w:r>
        <w:t>The figures support that sequence rather than serving only as decoration. Figure 1 shows the engineering turn from a generic RAG scaffold to a closed, article-aware ANVISA pipeline. Figure 2 shows why the benchmark was not limited to easy article lookup: it mixed Portuguese and English questions, single-article questions, exception questions, and unanswerable or adversarial questions. Figure 3A then shows the development history after weak points were identified, while Figure 3B shows the later targeted repair of refusal behavior and the remaining completeness trade-off. Together, the figures make the main interpretation clearer: once article-aware indexing, hybrid retrieval, and reranking were in place, ordinary source retrieval was no longer the dominant weakness. The important question became whether the retrieved article was sufficient for the exact answer requested.</w:t>
      </w:r>
    </w:p>
    <w:p>
      <w:pPr/>
      <w:r>
        <w:t>That shift is important for regulatory use. Metrics showed the overall pattern, but the examples explained the risk. The incomplete answers were not only stylistic omissions. They involved active-search obligations, ICH E2F conditions, market-availability requirements for instructions for use, the general rule before a biological-product exception, and a 30-business-day deadline. Similarly, refusal failures involved questions that sounded regulatory but asked for current operational facts such as a form model, phone number, petition code, or private case status. These examples show why completeness and refusal should be primary endpoints in regulatory RAG evaluation, not secondary notes.</w:t>
      </w:r>
    </w:p>
    <w:p>
      <w:pPr>
        <w:pStyle w:val="Heading2"/>
      </w:pPr>
      <w:r>
        <w:t>Use in drug development and regulatory affairs</w:t>
      </w:r>
    </w:p>
    <w:p>
      <w:pPr/>
      <w:r>
        <w:t>The most realistic use of this prototype is assisted navigation of a defined document set. A regulatory user could ask a question, receive a short answer, and inspect the cited article before using the information. This could reduce time spent searching across long Portuguese documents, especially for international teams working in English. It should not be used as a stand-alone regulatory decision tool because it does not access current portals, fee schedules, forms, company-specific status, authority correspondence, or the full current legal context.</w:t>
      </w:r>
    </w:p>
    <w:p>
      <w:pPr/>
      <w:r>
        <w:t>In practical use, the Streamlit prototype illustrates how the system could function as a lightweight evidence-navigation app rather than a regulatory decision engine. A regulatory affairs user could enter a question during dossier preparation, clinical-trial planning, pharmacovigilance review, or medical-device labelling work, then inspect the cited ANVISA article before using the answer. This use case is most appropriate for locating and summarizing evidence already present in the indexed corpus. It is not appropriate for current portal instructions, company-specific submission status, fee values, legal advice, or final regulatory strategy without human verification.</w:t>
      </w:r>
    </w:p>
    <w:p>
      <w:pPr/>
      <w:r>
        <w:t>The examples map to ordinary development and submission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w:t>
      </w:r>
    </w:p>
    <w:p>
      <w:pPr/>
      <w:r>
        <w:t>Confidence should therefore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t>Limitations and future work</w:t>
      </w:r>
    </w:p>
    <w:p>
      <w:pPr/>
      <w:r>
        <w:t>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This choice is consistent with current work on scalable LLM evaluation, but the literature also warns that automated judges may show bias and incomplete agreement with human judgment [10,16,17]. In this study, that limitation is especially relevant because generation and judging requested the same unpinned Gemini alias. Resolved backend versions were not archived, so exact replication and attribution of score differences solely to pipeline changes are not supported. An October 2026 preflight returned gemini-3.5-flash-lite; this does not identify the July backend or certify the model version of every subsequent pilot response. Some archived gold answers and generated answers rely on revoked RDC 9/2015, and current-law accuracy has not been established. Present-tense benchmark wording did not specify a historical regulatory date. A current-law evaluation must separately establish the applicable date, validity of each cited provision, substantive correctness and completeness of the answer; shared wording between old and new rules does not make the revoked citation valid. Grounding an answer in that historical text does not validate it as a present-day regulatory requirement. The intended correction is to exclude RDC 9/2015 from a separately versioned current-law corpus and re-author affected gold answers, rather than reinterpret the historical evaluation as a designed temporal-validity test. A current-law corpus rebuild and evaluation have not been completed; historical results are retained as development evidence and do not estimate current-law accuracy. Draft replacements have now been prepared for all 46 affected rows, including the 18 citing revoked RDC 55/2010 articles. The biological-product replacements use current general registration provisions or the biosimilar comparability pathway as explicitly scoped development questions, with frozen source extracts and original-question lineage. Draft preparation does not establish regulatory validity; human applicability and gold review and full-corpus reevaluation remain pending. Chunk sizes were measured with a different tokenizer from embedding inputs. Reconstructed WordPiece lengths exceed the configured embedding limit for 35 of 481 chunks; a paired retrospective window-pooling comparison measured small, mixed changes in dense and hybrid candidate retrieval, while a targeted final-reranking check found 10/50 changed prompts and one gold-article recall gain in the 30-question affected stratum. The completed 300-output answer comparison is scored by the same model used for generation; its affected-stratum completeness difference was +0.0267 (95% interval -0.0267 to +0.0989). The interval spans zero, so this pilot does not demonstrate a consistent completeness improvement. Human verification remains pending, and observed score changes on identical prompts limit causal attribution. The quota interruption also spread calls over two days despite retaining the same returned modelVersion. Window pooling changes the representation as well as coverage, so it does not isolate a pure causal effect of truncation. The 512-token override exceeds the model’s default SentenceTransformer length; a 256-token sensitivity check was also run, but no setting was selected from these development results. Archived gold citations include known regulatory-status concerns, so the analysis does not validate current-law relevance or independent generalization.</w:t>
      </w:r>
    </w:p>
    <w:p>
      <w:r>
        <w:t>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p>
    <w:p>
      <w:r>
        <w:t>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w:t>
      </w:r>
    </w:p>
    <w:p>
      <w:r>
        <w:t>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p>
    <w:p>
      <w:r>
        <w:t>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p>
    <w:p>
      <w:r>
        <w:t>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p>
    <w:p>
      <w:r>
        <w:t>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p>
    <w:p>
      <w:r>
        <w:t>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its first-repeat subset, while independent evaluation with frozen settings remains outstanding. No rule was removed from the application on the basis of these development results.</w:t>
      </w:r>
    </w:p>
    <w:p>
      <w:r>
        <w:t>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prospective author-led input set is frozen and all 40 answers have been generated; human outcome ratings remain pending, as described below. His coauthor role and earlier exposure prevent calling it independent external validation.</w:t>
      </w:r>
    </w:p>
    <w:p>
      <w:r>
        <w:t>A prospective author-led feasibility test of 20 bilingual pairs (40 rows; 12 answerable, four partly answerable and four unanswerable pairs) was frozen before answer generation on 30 October 2026. Questions and references were AI-authored after exposure to earlier development material and personally reviewed by coauthor H.L.R.J.; the corresponding author confirmed review of the final three pairs, including the Article 18 facilities alternative, on 29 October. The earlier plan for human-authored questions was not achieved and is disclosed as a protocol departure. No substantive reuse was identified in the final AI-assisted screening, which cannot certify semantic independence. Questions explicitly concern named archived regulatory texts; the unchanged six-document index may retrieve historical or other-document passages, which do not substitute for support from the named regulation. Questions, classifications, references, source eligibility and the original pipeline were hashed before answers. All 40 answers were subsequently generated with gemini-3.5-flash-lite at temperature 0.2 in 40 successful calls, without retries, repairs or automated judging. Human answer-quality ratings remain pending. Supplementary audits S26 and S27 record the freeze, execution and review plan; this is author-led feasibility work, not independent external validation.</w:t>
      </w:r>
    </w:p>
    <w:p>
      <w:pPr/>
      <w:r>
        <w:t>A clause-level source audit also identified reference issues beyond whole-article repeal. COMPLEX_02_PT/EN still require transport-chain validation under RDC 55/2010 Article 31 although item X is displayed as revoked by RDC 948/2024 Article 59(II); removal from that provision does not establish absence of transport duties elsewhere. A separate completeness concern in COMPLEX_09_PT/EN concerns notified versus registered devices and omitted exemption conditions. Among the 154 original rows outside the 46 replacement-parent rows, 12 rows in six pairs were flagged for surviving-article amendments or partial repeals; 102 had no marker flag and 40 required answerability/scope review. These are screening categories, not adjudicated error counts. Four other flagged pairs had no clause correction identified. Proposed references remain separate and unapproved, with no corrected performance estimate. Supplementary audit S28 reports the checks and successful browser recapture of all seven displayed consolidated texts after direct-download failures. No substantive token change from the October 24 snapshots was detected; current-law applicability remains unresolved.</w:t>
      </w:r>
    </w:p>
    <w:p>
      <w:pPr/>
      <w:r>
        <w:t>The dependency review covered all 46 replacement drafts (23 bilingual pairs). Twelve pairs were supported within their stated scope, nine required scope qualifications, and two had new correction proposals. The August 2026 Anvisa FAQ distinguishes direct site import of lab kits from the preapproval distribution restriction on investigational medicines; a 2026 biosimilar note also exempts development limited to comparative pharmacokinetic relative-bioavailability studies from DDCM submission. These findings require separate bilingual question/reference revisions for DR8_DIRECT_06 and DR8BIO_DIRECT_20. Filing-date transitions, category-specific rules, separate sponsor and institutional duties, and current foreign-authority and filing guidance were documented in supplementary audit S30. These are AI-assisted desk-review dispositions, not human-adjudicated error rates or exhaustive current-law certification. Proposed gold revisions remain unapproved, and no corrected accuracy is reported.</w:t>
      </w:r>
    </w:p>
    <w:p>
      <w:r>
        <w:t>The component comparisons reuse development questions and archived gold labels, including unresolved regulatory-status issues. They do not validate current-law relevance or independent generalization. A no-retrieval LLM answer baseline, a live AnvisaLegis keyword-search comparator and a replacement multilingual embedding model were not evaluated. The model card identifies the implemented encoder as English [20]; a documented multilingual alternative is available [21], but its regulatory retrieval performance has not been established here. Mean-pooling and anchor diagnostics are not a multilingual-model comparison, and no deployment setting was selected from these reused questions.</w:t>
      </w:r>
    </w:p>
    <w:p>
      <w:pPr/>
      <w:r>
        <w:t>The 1.000 values are therefore reported as part of the quality story, not as a claim of perfection. The initial internal set was subsequently reused for language-specific repairs and cannot serve as an independent held-out test. Internal refusal correctness reached 1.000, and some post-repair judge scores approached or reached 1.000, but those values came after benchmark construction, error review, and targeted repair. The first AI-authored diagnostic stress test challenged the saturated internal values, and its findings subsequently informed refusal calibration. Its question content also recurred in the calibration set, so it did not remain independent of subsequent development. It contradicted the internal refusal result: refusal correctness fell to 0.700 even while answerable-question retrieval and grounding remained strong. Figure 3A should therefore be read as development history, and Figure 3B as a descriptive comparison of diagnostic assessments before and after calibration on overlapping development content. The higher refusal score and lower answerable-control completeness do not establish a causal calibration effect or independent generalization. The most defensible claim is limited but useful. The system can help locate and summarize evidence in selected ANVISA documents, provided users verify the cited article and treat refusal boundaries seriously.</w:t>
      </w:r>
    </w:p>
    <w:p>
      <w:pPr/>
      <w:r>
        <w:t>Future studies should test the system with regulatory-affairs users and measure whether it reduces time to locate evidence without increasing overconfidence. A stronger validation study should include independent expert review of selected answers, blinded error classification, and a new test authored by people who have not seen the development questions, prompt, or failure review, with model and prompt settings frozen before evaluation. It should also compare the system with standard document search. The corpus should also be expanded and versioned so users can see when a question requires current information outside the indexed corpus.</w:t>
      </w:r>
    </w:p>
    <w:p>
      <w:pPr>
        <w:pStyle w:val="Heading1"/>
      </w:pPr>
      <w:r>
        <w:t>Conclusion</w:t>
      </w:r>
    </w:p>
    <w:p>
      <w:pPr>
        <w:keepLines/>
      </w:pPr>
      <w: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keepNext/>
        <w:keepLines/>
        <w:pageBreakBefore/>
      </w:pPr>
      <w:r>
        <w:t>Declarations</w:t>
      </w:r>
    </w:p>
    <w:p>
      <w:pPr>
        <w:keepNext/>
        <w:keepLines/>
      </w:pPr>
      <w:r>
        <w:t>Funding: The authors received no specific funding for this work.</w:t>
      </w:r>
    </w:p>
    <w:p>
      <w:pPr>
        <w:keepNext/>
        <w:keepLines/>
      </w:pPr>
      <w:r>
        <w:t>Conflict of Interest: The authors declare no competing financial interests.</w:t>
      </w:r>
    </w:p>
    <w:p>
      <w:pPr>
        <w:keepNext/>
        <w:keepLines/>
      </w:pPr>
      <w:r>
        <w:t>Author Contributions: C.V.M.-P. conceived and designed the study, developed the software pipeline, prepared the corpus, constructed the benchmark, performed the analyses, interpreted the results, and drafted the manuscript. H.L.R.J. contributed to the regulatory and pharmaceutical framing, interpretation of results, and critical revision of the manuscript. Both authors approved the final manuscript and agree to be accountable for the work.</w:t>
      </w:r>
    </w:p>
    <w:p>
      <w:pPr>
        <w:keepNext/>
        <w:keepLines/>
      </w:pPr>
      <w:r>
        <w:t>Data Availability: The code, benchmark manifests, generated outputs, prompts, and non-restricted derived artifacts are archived in a private project repository during manuscript preparation and will be made publicly available on GitHub after manuscript acceptance. Files needed for peer review are included as supplementary materials. Official ANVISA source URLs, source-file checksums, and the cleaning script are provided in the source reproducibility folder. Full cleaned copies of ANVISA regulatory text are derived from public agency documents; if redistribution of full cleaned text is restricted or unnecessary, the public repository will provide official source links, checksums, and cleaning scripts rather than republishing the full source text.</w:t>
      </w:r>
    </w:p>
    <w:p>
      <w:pPr>
        <w:keepNext/>
        <w:keepLines/>
      </w:pPr>
      <w:r>
        <w:t>Ethics Approval: Not required because the study used public regulatory documents and generated benchmark questions. No human participants, patient data, animal data, or clinical trial data were used.</w:t>
      </w:r>
    </w:p>
    <w:p>
      <w:r>
        <w:t>AI assistance disclosure: OpenAI Codex (OpenAI) was used to assist software implementation and debugging, data and source-file audits, analysis-script preparation, manuscript drafting and revision, and preparation of documents and figures from inspectable project data. AI-generated benchmark questions, answers and judge outputs are described separately in Methods and the supplementary records. Historical assistant model versions and complete session-level usage metadata were not consistently recorded. The authors retain responsibility for the manuscript, software and interpretations; AI assistance does not constitute independent human verification. Human regulatory adjudication still pending during this revision is identified explicitly in the relevant records.</w:t>
      </w:r>
    </w:p>
    <w:p>
      <w:pPr>
        <w:keepNext w:val="0"/>
        <w:keepLines/>
      </w:pPr>
      <w:r>
        <w:t>Clinical Trial Registration: Not applicable.</w:t>
      </w:r>
    </w:p>
    <w:p>
      <w:pPr>
        <w:pStyle w:val="Heading1"/>
        <w:pageBreakBefore/>
        <w:spacing w:after="0" w:before="0" w:line="240" w:lineRule="auto"/>
      </w:pPr>
      <w:r>
        <w:t>References</w:t>
      </w:r>
    </w:p>
    <w:p>
      <w:pPr>
        <w:spacing w:after="0" w:line="240" w:lineRule="auto" w:before="0"/>
      </w:pPr>
      <w:r>
        <w:rPr>
          <w:sz w:val="22"/>
        </w:rPr>
        <w:t>1. Lewis P, Perez E, Piktus A, et al. Retrieval-Augmented Generation for Knowledge-Intensive NLP Tasks. Advances in Neural Information Processing Systems. 2020;33:9459-9474.</w:t>
      </w:r>
    </w:p>
    <w:p>
      <w:pPr>
        <w:spacing w:after="0" w:line="240" w:lineRule="auto" w:before="0"/>
      </w:pPr>
      <w:r>
        <w:rPr>
          <w:sz w:val="22"/>
        </w:rPr>
        <w:t>2. Proestel S, Jeng LJB, Smith C, et al. Semantic Search of FDA Guidance Documents Using Generative AI. Ther Innov Regul Sci. 2025;59(5):1148-1159. doi:10.1007/s43441-025-00798-8.</w:t>
      </w:r>
    </w:p>
    <w:p>
      <w:pPr>
        <w:spacing w:after="0" w:line="240" w:lineRule="auto" w:before="0"/>
      </w:pPr>
      <w:r>
        <w:rPr>
          <w:sz w:val="22"/>
        </w:rPr>
        <w:t>3. Agência Nacional de Vigilância Sanitária. Instrução Normativa - IN No. 338, de 29 de novembro de 2024. Establishes the list of equivalent foreign regulatory authorities and criteria for optimized review under RDC 945/2024. AnvisaLegis. Accessed 19 July 2026.</w:t>
      </w:r>
    </w:p>
    <w:p>
      <w:pPr>
        <w:spacing w:after="0" w:line="240" w:lineRule="auto" w:before="0"/>
      </w:pPr>
      <w:r>
        <w:rPr>
          <w:sz w:val="22"/>
        </w:rPr>
        <w:t>4. Agência Nacional de Vigilância Sanitária. Resolução de Diretoria Colegiada - RDC No. 406, de 22 de julho de 2020. Good pharmacovigilance practices for holders of human medicine registrations. AnvisaLegis. Accessed 19 July 2026.</w:t>
      </w:r>
    </w:p>
    <w:p>
      <w:pPr>
        <w:spacing w:after="0" w:line="240" w:lineRule="auto" w:before="0"/>
      </w:pPr>
      <w:r>
        <w:rPr>
          <w:sz w:val="22"/>
        </w:rPr>
        <w:t>5. Agência Nacional de Vigilância Sanitária. Resolução - RDC No. 55, de 16 de dezembro de 2010. Registration of new biological products and biological products. AnvisaLegis. Accessed 19 July 2026.</w:t>
      </w:r>
    </w:p>
    <w:p>
      <w:pPr>
        <w:spacing w:after="0" w:line="240" w:lineRule="auto" w:before="0"/>
      </w:pPr>
      <w:r>
        <w:rPr>
          <w:sz w:val="22"/>
        </w:rPr>
        <w:t>6. Agência Nacional de Vigilância Sanitária. Resolução - RDC No. 751, de 15 de setembro de 2022. Medical-device risk classification, notification and registration regimes, labelling, and instructions for use. AnvisaLegis. Accessed 19 July 2026.</w:t>
      </w:r>
    </w:p>
    <w:p>
      <w:pPr>
        <w:spacing w:after="0" w:line="240" w:lineRule="auto" w:before="0"/>
      </w:pPr>
      <w:r>
        <w:rPr>
          <w:sz w:val="22"/>
        </w:rPr>
        <w:t>7. Agência Nacional de Vigilância Sanitária. Resolução da Diretoria Colegiada Anvisa No. 945, de 29 de novembro de 2024. Guidelines and procedures for clinical trials for later medicine registration. AnvisaLegis. Accessed 19 July 2026.</w:t>
      </w:r>
    </w:p>
    <w:p>
      <w:pPr>
        <w:spacing w:after="0" w:line="240" w:lineRule="auto" w:before="0"/>
      </w:pPr>
      <w:r>
        <w:rPr>
          <w:sz w:val="22"/>
        </w:rPr>
        <w:t>8. Agência Nacional de Vigilância Sanitária. Resolução RDC No. 9, de 20 de fevereiro de 2015. Regulation for clinical trials with medicines in Brazil. AnvisaLegis. Accessed 19 July 2026.</w:t>
      </w:r>
    </w:p>
    <w:p>
      <w:pPr>
        <w:spacing w:after="0" w:line="240" w:lineRule="auto" w:before="0"/>
      </w:pPr>
      <w:r>
        <w:rPr>
          <w:sz w:val="22"/>
        </w:rPr>
        <w:t>9. Gao Y, Xiong Y, Gao X, et al. Retrieval-Augmented Generation for Large Language Models: A Survey. arXiv. 2023. doi:10.48550/arXiv.2312.10997.</w:t>
      </w:r>
    </w:p>
    <w:p>
      <w:pPr>
        <w:spacing w:after="0" w:line="240" w:lineRule="auto" w:before="0"/>
      </w:pPr>
      <w:r>
        <w:rPr>
          <w:sz w:val="22"/>
        </w:rPr>
        <w:t>10. Es S, James J, Espinosa-Anke L, Schockaert S. RAGAS: Automated Evaluation of Retrieval Augmented Generation. arXiv. 2023. doi:10.48550/arXiv.2309.15217.</w:t>
      </w:r>
    </w:p>
    <w:p>
      <w:pPr>
        <w:spacing w:after="0" w:line="240" w:lineRule="auto" w:before="0"/>
      </w:pPr>
      <w:r>
        <w:rPr>
          <w:sz w:val="22"/>
        </w:rPr>
        <w:t>11. Reimers N, Gurevych I. Sentence-BERT: Sentence Embeddings using Siamese BERT-Networks. In: Proceedings of EMNLP-IJCNLP. Association for Computational Linguistics; 2019:3982-3992. doi:10.18653/v1/D19-1410.</w:t>
      </w:r>
    </w:p>
    <w:p>
      <w:pPr>
        <w:spacing w:after="0" w:line="240" w:lineRule="auto" w:before="0"/>
      </w:pPr>
      <w:r>
        <w:rPr>
          <w:sz w:val="22"/>
        </w:rPr>
        <w:t>12. Robertson S, Zaragoza H. The Probabilistic Relevance Framework: BM25 and Beyond. Foundations and Trends in Information Retrieval. 2009;3(4):333-389. doi:10.1561/1500000019.</w:t>
      </w:r>
    </w:p>
    <w:p>
      <w:pPr>
        <w:spacing w:after="0" w:line="240" w:lineRule="auto" w:before="0"/>
      </w:pPr>
      <w:r>
        <w:rPr>
          <w:sz w:val="22"/>
        </w:rPr>
        <w:t>13. Bonifacio L, Jeronymo V, Abonizio HQ, Campiotti I, Fadaee M, Lotufo R, Nogueira R. mMARCO: A Multilingual Version of the MS MARCO Passage Ranking Dataset. arXiv. 2021. doi:10.48550/arXiv.2108.13897.</w:t>
      </w:r>
    </w:p>
    <w:p>
      <w:pPr>
        <w:spacing w:after="0" w:line="240" w:lineRule="auto" w:before="0"/>
      </w:pPr>
      <w:r>
        <w:rPr>
          <w:sz w:val="22"/>
        </w:rPr>
        <w:t>14. LlamaIndex. LlamaIndex: a data framework for LLM applications. GitHub repository. https://github.com/run-llama/llama_index. Accessed 21 July 2026.</w:t>
      </w:r>
    </w:p>
    <w:p>
      <w:pPr>
        <w:spacing w:after="0" w:line="240" w:lineRule="auto" w:before="0"/>
      </w:pPr>
      <w:r>
        <w:rPr>
          <w:sz w:val="22"/>
        </w:rPr>
        <w:t>15. Google AI for Developers. Gemini API models and GenerateContentResponse reference. https://ai.google.dev/gemini-api/docs/models; https://ai.google.dev/api/generate-content. Accessed 24 October 2026.</w:t>
      </w:r>
    </w:p>
    <w:p>
      <w:pPr>
        <w:spacing w:after="0" w:line="240" w:lineRule="auto" w:before="0"/>
      </w:pPr>
      <w:r>
        <w:rPr>
          <w:sz w:val="22"/>
        </w:rPr>
        <w:t>16. Chang Y, Wang X, Wang J, et al. A Survey on Evaluation of Large Language Models. ACM Transactions on Intelligent Systems and Technology. 2024;15(3). doi:10.1145/3641289.</w:t>
      </w:r>
    </w:p>
    <w:p>
      <w:pPr>
        <w:spacing w:after="0" w:line="240" w:lineRule="auto" w:before="0"/>
      </w:pPr>
      <w:r>
        <w:rPr>
          <w:sz w:val="22"/>
        </w:rPr>
        <w:t>17. Zheng L, Chiang WL, Sheng Y, et al. Judging LLM-as-a-Judge with MT-Bench and Chatbot Arena. Advances in Neural Information Processing Systems. 2023;36.</w:t>
      </w:r>
    </w:p>
    <w:p>
      <w:pPr>
        <w:spacing w:after="0" w:line="240" w:lineRule="auto" w:before="0"/>
      </w:pPr>
      <w:r>
        <w:rPr>
          <w:sz w:val="22"/>
        </w:rPr>
        <w:t>18. Agência Nacional de Vigilância Sanitária. Resolução da Diretoria Colegiada - RDC No. 875, de 28 de maio de 2024. Complementary requirements for registration of biosimilars through comparability. AnvisaLegis. Accessed 23 October 2026.</w:t>
      </w:r>
    </w:p>
    <w:p>
      <w:pPr>
        <w:spacing w:after="0" w:line="240" w:lineRule="auto" w:before="0"/>
      </w:pPr>
      <w:r>
        <w:rPr>
          <w:sz w:val="22"/>
        </w:rPr>
        <w:t>19. Agência Nacional de Vigilância Sanitária. Resolução - RDC No. 948, de 12 de dezembro de 2024. General sanitary requirements for regularization of human medicines. Consolidated text. AnvisaLegis. Accessed 23 October 2026.</w:t>
      </w:r>
    </w:p>
    <w:p>
      <w:pPr>
        <w:spacing w:after="0" w:line="240" w:lineRule="auto" w:before="0"/>
      </w:pPr>
      <w:r>
        <w:rPr>
          <w:sz w:val="22"/>
        </w:rPr>
        <w:t>20. Sentence Transformers. all-MiniLM-L6-v2 model card. https://huggingface.co/sentence-transformers/all-MiniLM-L6-v2. Accessed 25 October 2026.</w:t>
      </w:r>
    </w:p>
    <w:p>
      <w:pPr>
        <w:spacing w:after="0" w:line="240" w:lineRule="auto" w:before="0"/>
      </w:pPr>
      <w:r>
        <w:rPr>
          <w:sz w:val="22"/>
        </w:rPr>
        <w:t>21. Sentence Transformers. Pretrained models and multilingual models. https://sbert.net/docs/sentence_transformer/pretrained_models.html. Accessed 25 October 2026.</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