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24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ins>
    </w:p>
    <w:p/>
    <w:p/>
    <w:p/>
    <w:p>
      <w:ins w:id="2400001" w:author="Manuscript revision" w:date="2026-10-22T10:00:00Z">
        <w:r>
          <w:t xml:space="preserve">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ins>
    </w:p>
    <w:p>
      <w:pPr/>
      <w:ins w:id="2600001" w:author="Manuscript revision" w:date="2026-10-22T10:00:00Z">
        <w: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2900000" w:author="Manuscript revision" w:date="2026-10-22T10:00:00Z">
        <w:r>
          <w:t xml:space="preserve">The dependency review covered all 46 replacement drafts (23 bilingual pairs). Twelve pairs were supported within their stated scope, nine required scope qualifications, and two had new correction proposals. The August 2026 Anvisa FAQ distinguishes direct site import of lab kits from the preapproval distribution restriction on investigational medicines; a 2026 biosimilar note also exempts development limited to comparative pharmacokinetic relative-bioavailability studies from DDCM submission. These findings require separate bilingual question/reference revisions for DR8_DIRECT_06 and DR8BIO_DIRECT_20. Filing-date transitions, category-specific rules, separate sponsor and institutional duties, and current foreign-authority and filing guidance were documented in supplementary audit S30. These are AI-assisted desk-review dispositions, not human-adjudicated error rates or exhaustive current-law certification. Proposed gold revisions remain unapproved, and no corrected accuracy is reported.</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