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Arial" w:hAnsi="Arial" w:eastAsia="Arial"/>
          <w:b w:val="0"/>
          <w:i w:val="0"/>
          <w:color w:val="000000"/>
          <w:sz w:val="36"/>
        </w:rPr>
        <w:t>Supplementary Tables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Title: Bilingual Retrieval-Augmented Access to ANVISA Regulatory Documents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Prepared: 2026-07-20</w:t>
      </w:r>
    </w:p>
    <w:p>
      <w:pPr>
        <w:pStyle w:val="Heading2"/>
        <w:spacing w:before="280" w:after="120"/>
      </w:pPr>
      <w:r>
        <w:rPr>
          <w:rFonts w:ascii="Arial" w:hAnsi="Arial" w:eastAsia="Arial"/>
          <w:b w:val="0"/>
          <w:i w:val="0"/>
          <w:color w:val="000000"/>
          <w:sz w:val="28"/>
        </w:rPr>
        <w:t>Supplementary Table S1. Expanded development decision table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Question category or system issue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What the system did well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What went wrong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What was changed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What this means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Source cleaning and document identity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The project identified the intended regulatory corpus.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Local source files included formatting artifacts and one misleading local file name.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Source text was cleaned and document identity was checked against official regulation names.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Regulatory RAG needs a stable and auditable corpus before retrieval metrics are interpretable.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Direct article questions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Retrieved and cited the correct article for compact questions.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Some answers still omitted conditions.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Article-level indexing and completeness prompting were added.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Useful for navigation, but citations must be checked.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English questions over Portuguese sources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Improved after Portuguese retrieval anchors.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English completeness was initially weak.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Conservative bilingual term anchors were added.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Bilingual search is feasible but needs controlled terminology.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Rule-plus-exception questions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Often found the right document.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Sometimes gave the exception without the general rule.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Rule-plus-exception failures were tracked separately.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Regulatory answers must preserve legal structure.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Long-list questions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Often found the right article.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Omitted one element, condition, or deadline.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Answer-completeness checks were added.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Average metrics can hide operationally important omissions.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False-premise questions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Could correct the premise and cite evidence.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Automated labels could confuse false premise with refusal.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False-premise questions were kept as a separate category.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These questions should not be merged with ordinary unanswerable questions.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Current or operational facts outside corpus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Refused after calibration.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Earlier system answered from nearby general text.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 stricter refusal rule and separate refusal test were added.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Refusal calibration is central for regulatory safety.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External stress-test questions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Confirmed strong answerable-question behavior.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Refusal correctness dropped to 0.700.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Refusal was repaired using separate development data.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External testing changed the project story.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hAnsi="Arial" w:eastAsia="Arial"/>
          <w:b w:val="0"/>
          <w:i w:val="0"/>
          <w:color w:val="000000"/>
          <w:sz w:val="28"/>
        </w:rPr>
        <w:t>Supplementary Table S2. Expanded representative answer outcomes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Question type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Example question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System behavior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Correct answer, pharmacovigilance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Which minimum information makes a notification valid and reportable?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Retrieved RDC 406/2020, Art. 32 and listed the minimum elements.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Correct source and correct main answer.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Correct false-premise handling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Is a notification valid without patient identification if the suspected medicine is named?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Answered no and cited RDC 406/2020, Art. 32.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Useful because it corrected the premise.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Correct clinical-trial safety answer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Does possible SUSAR reporting allow unblinding all participants?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Answered no; unblinding is limited to the affected participant and cited RDC 945/2024, Art. 67.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Correct and relevant to trial conduct.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Correct refusal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What is the current MedDRA version required today?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Refused because the indexed documents mention MedDRA but not the current required version.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Appropriate refusal for current operational information.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Correct refusal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What is the current phone number for Anvisa support for the adverse-event notification system?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Refused because the corpus does not contain current support contact information.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Appropriate evidence boundary.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Incomplete answer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What information must appear for non-printed instructions for use?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Retrieved RDC 751/2022, Art. 51 but omitted that instructions must remain available while the product is on the market.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Correct article, incomplete answer.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Incomplete answer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Can a foreign-manufactured biological product be registered without registration in the manufacturing country?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Gave the exception but did not clearly state the general rule.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Risk of treating an exception as the whole rule.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False refusal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Under RDC 945/2024, until when must DSURs be sent to Anvisa and what is the annual reference date?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Refused in one English external-test row although the corpus contained the answer.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Retrieval or answer threshold failure.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Refusal failure before calibration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What is the current electronic form model for notifying SUSARs to Anvisa?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Earlier external testing sometimes answered with the general electronic-notification requirement.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Related context was mistaken for sufficient evidence.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hAnsi="Arial" w:eastAsia="Arial"/>
          <w:b w:val="0"/>
          <w:i w:val="0"/>
          <w:color w:val="000000"/>
          <w:sz w:val="28"/>
        </w:rPr>
        <w:t>Supplementary Table S3. Evaluation-stage summary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Stage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Main finding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Use in interpretation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Initial held-out evaluation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English completeness was the weak point; some answers omitted list items, conditions, or exceptions.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Development diagnosis.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Post-repair internal evaluation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High internal scores showed that the repaired system passed the curated benchmark.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Internal technical check, not independent validation.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External stress test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Answerable questions were mostly supported, but refusal behavior was weak.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Diagnostic external evidence that changed the project focus.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Refusal-focused external test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Refusal improved after separate calibration, with no over-refusal on answerable controls.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Focused external check of refusal calibration.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hAnsi="Arial" w:eastAsia="Arial"/>
          <w:b w:val="0"/>
          <w:i w:val="0"/>
          <w:color w:val="000000"/>
          <w:sz w:val="28"/>
        </w:rPr>
        <w:t>Supplementary Table S4. Main-table disposition after revision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Layout w:type="fixed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Original table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Revision decision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Table 1. Regulatory domains represented in the corpus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Replaced with a shorter corpus-and-use-case table.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Reduces page splitting and overlaps less with Figure 2.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Table 2. Question categories and corrective actions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Condensed in the main text and expanded as Supplementary Table S1.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Full version was too dense for the main manuscript.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Table 3. Representative examples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Condensed in the main text and expanded as Supplementary Table S2.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Keeps the story visible while moving audit-level detail to the supplement.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Table 4. Summary of evaluation stages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Removed from the main text and moved to Supplementary Table S3.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Redundant with Figure 3A and Figure 3B.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