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Table 3. Representative answer outcomes.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Outcome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Example question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What the result showed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Correct direct answer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Which minimum information makes a notification valid and reportable?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The system retrieved RDC 406/2020, Art. 32 and gave the main required elements.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Correct false-premise handling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Is a notification valid without patient identification if the suspected medicine is named?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The system rejected the premise and cited RDC 406/2020, Art. 32.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Correct refusal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What is the current MedDRA version required today?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The system refused because the current required version was outside the indexed corpus.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Incomplete answer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What information must appear for non-printed instructions for use?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The system retrieved RDC 751/2022, Art. 51 but omitted that instructions must remain available while the product is on the market.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False refusal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Under RDC 945/2024, until when must DSURs be sent to Anvisa and what is the annual reference date?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One English external-test answer refused although the indexed corpus contained the answer.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Refusal failure before calibration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What is the current electronic form model for notifying SUSARs to Anvisa?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The earlier system answered from a related notification rule although the exact current form model was absent.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