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Table 1. ANVISA corpus and regulatory use cases.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Regulation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Regulatory area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Example use case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RDC 945/2024 and RDC 9/2015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Clinical trials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DDCM procedures, DSUR timing, SUSAR handling, and trial-safety conduct.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RDC 406/2020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Pharmacovigilance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Minimum notification elements and follow-up when information is incomplete.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RDC 55/2010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Biological products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Registration rules and exceptions for foreign-manufactured biological products.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RDC 751/2022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Medical devices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Risk classification, labelling, and instructions for use.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IN 338/2024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Reliance and optimized review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Equivalent foreign regulatory authorities and reliance-related conditions.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