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Table 2. Development decisions made after observed failures.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left"/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Observed problem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Evidence from testing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Change made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Reason for regulatory use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Source text was noisy or poorly structured.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Early app tests and corpus review showed formatting artifacts and document-label problems.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Cleaned source text and verified document identity before indexing.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 regulatory answer is only useful if the cited source is identifiable.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Arbitrary chunks did not match legal structure.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documents were sometimes nearby but answers missed article-level conditions.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Rebuilt the index with article-aware chunks and article metadata.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Users need checkable article citations, not only semantically similar passages.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Dense retrieval alone was weak for exact legal terms.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Terms such as DDCM, RDC numbers, article numbers, and IN 338/2024 required exact matching.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Added BM25 retrieval, reciprocal-rank fusion, and reranking.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Regulatory questions often depend on exact terms and article labels.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English questions over Portuguese documents lost completeness.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Initial English completeness was lower than Portuguese completeness.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Added conservative Portuguese retrieval anchors while preserving answer language.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International users may ask in English while the source corpus remains Portuguese.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The system answered from related but insufficient context.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External stress testing showed refusal correctness of 0.700.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Tightened the refusal rule and tested a separate refusal-focused external set.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 related article is not enough when the specific requested fact is absent.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sz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  <w:sz w:val="24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pacing w:val="5"/>
      <w:kern w:val="28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sz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sz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24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4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sz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sz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sz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