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4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ins>
    </w:p>
    <w:p/>
    <w:p/>
    <w:p/>
    <w:p>
      <w:ins w:id="24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ins>
    </w:p>
    <w:p>
      <w:pPr/>
      <w:ins w:id="2600001" w:author="Manuscript revision" w:date="2026-10-22T10:00:00Z">
        <w: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3100000" w:author="Manuscript revision" w:date="2026-10-22T10:00:00Z">
        <w:r>
          <w:t xml:space="preserve">The dependency review covered all 46 replacement drafts (23 bilingual pairs). Twelve pairs were supported within their stated scope, nine required qualifications, and two generated revised-task proposals. A subsequent AI quality review checked eight revised rows across four pairs against the cited provisions, conditions and Portuguese–English wording. It restricted the lab-kit exception to participant screening and made preservative-efficacy wording conditional. Three pairs change question scope, including adding the PK-only biosimilar DDCM exception to a question originally limited to Articles 2–3; these changes are not retrospective proof of scoring errors in the original tasks. A separate inactive working collection contains 50 rows. Supplementary audits S30 and S31 document the findings and versions. This is AI review, not human verification or independent validation, and no corrected accuracy is reported.</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