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276" w:lineRule="auto" w:after="120"/>
        <w:jc w:val="center"/>
      </w:pPr>
      <w:r>
        <w:rPr>
          <w:rFonts w:ascii="Times New Roman" w:hAnsi="Times New Roman" w:eastAsia="Times New Roman"/>
          <w:b/>
          <w:color w:val="000000"/>
          <w:sz w:val="26"/>
        </w:rPr>
        <w:t>Bilingual Retrieval-Augmented Access to ANVISA Regulatory Documents: A Technical Evaluation Using Drug-Development and Health-Product Questions</w:t>
      </w:r>
    </w:p>
    <w:p>
      <w:pPr>
        <w:spacing w:line="360" w:lineRule="auto" w:after="120"/>
      </w:pPr>
      <w:r>
        <w:rPr>
          <w:rFonts w:ascii="Times New Roman" w:hAnsi="Times New Roman" w:eastAsia="Times New Roman"/>
          <w:b w:val="0"/>
          <w:color w:val="000000"/>
          <w:sz w:val="24"/>
        </w:rPr>
        <w:t>Authors: Carlos Victor Montefusco-Pereira1*, Howard Lopes Ribeiro Junior2</w:t>
      </w:r>
    </w:p>
    <w:p>
      <w:pPr>
        <w:spacing w:line="360" w:lineRule="auto" w:after="120"/>
      </w:pPr>
      <w:r>
        <w:rPr>
          <w:rFonts w:ascii="Times New Roman" w:hAnsi="Times New Roman" w:eastAsia="Times New Roman"/>
          <w:b w:val="0"/>
          <w:color w:val="000000"/>
          <w:sz w:val="24"/>
        </w:rPr>
        <w:t>1 Independent Researcher in Data Science and Artificial Intelligence in Industrial Pharmaceutics, Berlin, Germany</w:t>
      </w:r>
    </w:p>
    <w:p>
      <w:pPr>
        <w:spacing w:line="360" w:lineRule="auto" w:after="120"/>
      </w:pPr>
      <w:r>
        <w:rPr>
          <w:rFonts w:ascii="Times New Roman" w:hAnsi="Times New Roman" w:eastAsia="Times New Roman"/>
          <w:b w:val="0"/>
          <w:color w:val="000000"/>
          <w:sz w:val="24"/>
        </w:rPr>
        <w:t>2 Center for Research and Drug Development (NPDM), Federal University of Ceara, Fortaleza 60430-275, Brazil; Post-Graduate Program in Pathology, Federal University of Ceara, Fortaleza, Brazil; Post-Graduate Program in Translational Medicine, Federal University of Ceara, Fortaleza, Brazil</w:t>
      </w:r>
    </w:p>
    <w:p>
      <w:pPr>
        <w:spacing w:line="360" w:lineRule="auto" w:after="120"/>
      </w:pPr>
      <w:r>
        <w:rPr>
          <w:rFonts w:ascii="Times New Roman" w:hAnsi="Times New Roman" w:eastAsia="Times New Roman"/>
          <w:b w:val="0"/>
          <w:color w:val="000000"/>
          <w:sz w:val="24"/>
        </w:rPr>
        <w:t>ORCID: Carlos Victor Montefusco-Pereira, 0000-0003-4167-4653; Howard Lopes Ribeiro Junior, 0000-0003-2431-4779</w:t>
      </w:r>
    </w:p>
    <w:p>
      <w:pPr>
        <w:spacing w:line="360" w:lineRule="auto" w:after="120"/>
      </w:pPr>
      <w:r>
        <w:rPr>
          <w:rFonts w:ascii="Times New Roman" w:hAnsi="Times New Roman" w:eastAsia="Times New Roman"/>
          <w:b w:val="0"/>
          <w:color w:val="000000"/>
          <w:sz w:val="24"/>
        </w:rPr>
        <w:t>Corresponding author: Carlos Victor Montefusco-Pereira. Friedrich-Wilhelm 28, 12103 Berlin, Germany. Email: cmontefusco@gmail.com. Phone: +49 15168108538.</w:t>
      </w:r>
    </w:p>
    <w:p>
      <w:pPr>
        <w:spacing w:line="360" w:lineRule="auto" w:after="120"/>
      </w:pPr>
      <w:r>
        <w:rPr>
          <w:rFonts w:ascii="Times New Roman" w:hAnsi="Times New Roman" w:eastAsia="Times New Roman"/>
          <w:b w:val="0"/>
          <w:color w:val="000000"/>
          <w:sz w:val="24"/>
        </w:rPr>
        <w:t>Keywords: regulatory science; ANVISA; retrieval-augmented generation; clinical trials; pharmacovigilance; biological products and medical devices</w:t>
      </w:r>
    </w:p>
    <w:p>
      <w:pPr>
        <w:spacing w:line="360" w:lineRule="auto" w:after="120"/>
      </w:pPr>
      <w:r>
        <w:rPr>
          <w:rFonts w:ascii="Times New Roman" w:hAnsi="Times New Roman" w:eastAsia="Times New Roman"/>
          <w:b w:val="0"/>
          <w:color w:val="000000"/>
          <w:sz w:val="24"/>
        </w:rPr>
        <w:t>Abbreviations: ANVISA, Agencia Nacional de Vigilancia Sanitaria;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spacing w:line="276" w:lineRule="auto" w:after="120"/>
      </w:pPr>
      <w:r>
        <w:rPr>
          <w:rFonts w:ascii="Times New Roman" w:hAnsi="Times New Roman" w:eastAsia="Times New Roman"/>
          <w:b/>
          <w:color w:val="000000"/>
          <w:sz w:val="26"/>
        </w:rPr>
        <w:t>Abstract</w:t>
      </w:r>
    </w:p>
    <w:p>
      <w:pPr>
        <w:spacing w:line="360" w:lineRule="auto" w:after="120"/>
      </w:pPr>
      <w:r>
        <w:rPr>
          <w:rFonts w:ascii="Times New Roman" w:hAnsi="Times New Roman" w:eastAsia="Times New Roman"/>
          <w:b w:val="0"/>
          <w:color w:val="000000"/>
          <w:sz w:val="24"/>
        </w:rPr>
        <w:t>Background. Regulatory teams often need to interpret long health-authority documents while working across languages. In Brazil, many regulatory sources are published in Portuguese, while companies and scientists may ask questions in English.</w:t>
      </w:r>
    </w:p>
    <w:p>
      <w:pPr>
        <w:spacing w:line="360" w:lineRule="auto" w:after="120"/>
      </w:pPr>
      <w:r>
        <w:rPr>
          <w:rFonts w:ascii="Times New Roman" w:hAnsi="Times New Roman" w:eastAsia="Times New Roman"/>
          <w:b w:val="0"/>
          <w:color w:val="000000"/>
          <w:sz w:val="24"/>
        </w:rPr>
        <w:t>Objective. To evaluate whether a bilingual retrieval-augmented generation prototype could locate, cite, and summarize selected ANVISA regulatory requirements relevant to drug development and health-product regulation.</w:t>
      </w:r>
    </w:p>
    <w:p>
      <w:pPr>
        <w:spacing w:line="360" w:lineRule="auto" w:after="120"/>
      </w:pPr>
      <w:r>
        <w:rPr>
          <w:rFonts w:ascii="Times New Roman" w:hAnsi="Times New Roman" w:eastAsia="Times New Roman"/>
          <w:b w:val="0"/>
          <w:color w:val="000000"/>
          <w:sz w:val="24"/>
        </w:rPr>
        <w:t>Methods. Six ANVISA regulatory documents were cleaned and indexed as an article-level closed corpus. The system was implemented in Python 3.10 using LlamaIndex, sentence-transformers, rank-bm25, Streamlit, and the Google Generative AI interface. Dense retrieval used sentence-transformers/all-MiniLM-L6-v2; keyword retrieval used BM25; candidates were merged by reciprocal rank fusion and reranked with cross-encoder/mmarco-mMiniLMv2-L12-H384-v1. The final answer model was models/gemini-flash-lite-latest. The benchmark included 200 bilingual questions: 70 Portuguese answerable, 70 English answerable, 20 multi-article or exception questions, and 40 unanswerable or adversarial questions. An automated AI judge scored faithfulness, citation correctness, completeness, and refusal correctness on a 0 to 1 scale.</w:t>
      </w:r>
    </w:p>
    <w:p>
      <w:pPr>
        <w:spacing w:line="360" w:lineRule="auto" w:after="120"/>
      </w:pPr>
      <w:r>
        <w:rPr>
          <w:rFonts w:ascii="Times New Roman" w:hAnsi="Times New Roman" w:eastAsia="Times New Roman"/>
          <w:b w:val="0"/>
          <w:color w:val="000000"/>
          <w:sz w:val="24"/>
        </w:rPr>
        <w:t>Results. The final article-aware index contained 382 detected regulatory articles and 481 chunks. In the first AI-authored prospective stress test, answerable questions had source hit 1.000, source MRR 0.988, normalized article Recall@5 0.967, normalized article MRR@5 0.913, citation correctness 0.975, faithfulness 1.000, and completeness 0.943. Refusal correctness for unanswerable/adversarial questions was lower at 0.700. After refusal calibration using separate development data, a refusal-focused AI-authored test reached refusal correctness 0.944, with faithfulness 1.000, citation correctness 1.000, and completeness 0.908 on answerable controls.</w:t>
      </w:r>
    </w:p>
    <w:p>
      <w:pPr>
        <w:spacing w:line="360" w:lineRule="auto" w:after="120"/>
      </w:pPr>
      <w:r>
        <w:rPr>
          <w:rFonts w:ascii="Times New Roman" w:hAnsi="Times New Roman" w:eastAsia="Times New Roman"/>
          <w:b w:val="0"/>
          <w:color w:val="000000"/>
          <w:sz w:val="24"/>
        </w:rP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spacing w:line="276" w:lineRule="auto" w:after="120"/>
      </w:pPr>
      <w:r>
        <w:rPr>
          <w:rFonts w:ascii="Times New Roman" w:hAnsi="Times New Roman" w:eastAsia="Times New Roman"/>
          <w:b/>
          <w:color w:val="000000"/>
          <w:sz w:val="26"/>
        </w:rPr>
        <w:t>Introduction</w:t>
      </w:r>
    </w:p>
    <w:p>
      <w:pPr>
        <w:spacing w:line="360" w:lineRule="auto" w:after="120"/>
      </w:pPr>
      <w:r>
        <w:rPr>
          <w:rFonts w:ascii="Times New Roman" w:hAnsi="Times New Roman" w:eastAsia="Times New Roman"/>
          <w:b w:val="0"/>
          <w:color w:val="000000"/>
          <w:sz w:val="24"/>
        </w:rPr>
        <w:t>Drug-development decisions often begin with a narrow regulatory question. A sponsor may need to know how a Clinical Drug Development Dossier (DDCM) can be suspended,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w:t>
      </w:r>
    </w:p>
    <w:p>
      <w:pPr>
        <w:spacing w:line="360" w:lineRule="auto" w:after="120"/>
      </w:pPr>
      <w:r>
        <w:rPr>
          <w:rFonts w:ascii="Times New Roman" w:hAnsi="Times New Roman" w:eastAsia="Times New Roman"/>
          <w:b w:val="0"/>
          <w:color w:val="000000"/>
          <w:sz w:val="24"/>
        </w:rP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spacing w:line="360" w:lineRule="auto" w:after="120"/>
      </w:pPr>
      <w:r>
        <w:rPr>
          <w:rFonts w:ascii="Times New Roman" w:hAnsi="Times New Roman" w:eastAsia="Times New Roman"/>
          <w:b w:val="0"/>
          <w:color w:val="000000"/>
          <w:sz w:val="24"/>
        </w:rPr>
        <w:t>Retrieval-augmented generation (RAG) systems may help by retrieving source passages before generating an answer [1]. Prior work in Therapeutic Innovation &amp; Regulatory Science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spacing w:line="360" w:lineRule="auto" w:after="120"/>
      </w:pPr>
      <w:r>
        <w:rPr>
          <w:rFonts w:ascii="Times New Roman" w:hAnsi="Times New Roman" w:eastAsia="Times New Roman"/>
          <w:b w:val="0"/>
          <w:color w:val="000000"/>
          <w:sz w:val="24"/>
        </w:rP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spacing w:line="360" w:lineRule="auto" w:after="120"/>
      </w:pPr>
      <w:r>
        <w:rPr>
          <w:rFonts w:ascii="Times New Roman" w:hAnsi="Times New Roman" w:eastAsia="Times New Roman"/>
          <w:b w:val="0"/>
          <w:color w:val="000000"/>
          <w:sz w:val="24"/>
        </w:rPr>
        <w:t>The manuscript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spacing w:line="276" w:lineRule="auto" w:after="120"/>
      </w:pPr>
      <w:r>
        <w:rPr>
          <w:rFonts w:ascii="Times New Roman" w:hAnsi="Times New Roman" w:eastAsia="Times New Roman"/>
          <w:b/>
          <w:color w:val="000000"/>
          <w:sz w:val="26"/>
        </w:rPr>
        <w:t>Materials and Methods</w:t>
      </w:r>
    </w:p>
    <w:p>
      <w:pPr>
        <w:pStyle w:val="Heading2"/>
        <w:spacing w:line="276" w:lineRule="auto" w:after="120"/>
      </w:pPr>
      <w:r>
        <w:rPr>
          <w:rFonts w:ascii="Times New Roman" w:hAnsi="Times New Roman" w:eastAsia="Times New Roman"/>
          <w:b/>
          <w:color w:val="000000"/>
          <w:sz w:val="26"/>
        </w:rPr>
        <w:t>Study design</w:t>
      </w:r>
    </w:p>
    <w:p>
      <w:pPr>
        <w:spacing w:line="360" w:lineRule="auto" w:after="120"/>
      </w:pPr>
      <w:r>
        <w:rPr>
          <w:rFonts w:ascii="Times New Roman" w:hAnsi="Times New Roman" w:eastAsia="Times New Roman"/>
          <w:b w:val="0"/>
          <w:color w:val="000000"/>
          <w:sz w:val="24"/>
        </w:rPr>
        <w:t>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spacing w:line="360" w:lineRule="auto" w:after="120"/>
      </w:pPr>
      <w:r>
        <w:rPr>
          <w:rFonts w:ascii="Times New Roman" w:hAnsi="Times New Roman" w:eastAsia="Times New Roman"/>
          <w:b w:val="0"/>
          <w:color w:val="000000"/>
          <w:sz w:val="24"/>
        </w:rPr>
        <w:t>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held-out runs, the first AI-authored prospective stress test, and a later refusal-focused AI-authored test. This separation is important because internal scores can be inflated when the same project team writes questions, reviews errors, and repairs the system.</w:t>
      </w:r>
    </w:p>
    <w:p>
      <w:pPr>
        <w:pStyle w:val="Heading2"/>
        <w:spacing w:line="276" w:lineRule="auto" w:after="120"/>
      </w:pPr>
      <w:r>
        <w:rPr>
          <w:rFonts w:ascii="Times New Roman" w:hAnsi="Times New Roman" w:eastAsia="Times New Roman"/>
          <w:b/>
          <w:color w:val="000000"/>
          <w:sz w:val="26"/>
        </w:rPr>
        <w:t>Regulatory corpus</w:t>
      </w:r>
    </w:p>
    <w:p>
      <w:pPr>
        <w:spacing w:line="360" w:lineRule="auto" w:after="120"/>
      </w:pPr>
      <w:r>
        <w:rPr>
          <w:rFonts w:ascii="Times New Roman" w:hAnsi="Times New Roman" w:eastAsia="Times New Roman"/>
          <w:b w:val="0"/>
          <w:color w:val="000000"/>
          <w:sz w:val="24"/>
        </w:rPr>
        <w:t>The corpus included six selected ANVISA documents covering clinical trials, biological products, medical devices, pharmacovigilance, and reliance-based review [3-8]. The documents were chosen because they represent common questions in drug-development and health-product work. The final corpus included IN 338/2024, RDC 406/2020, RDC 55/2010, RDC 751/2022, RDC 945/2024, and RDC 9/2015. Corpus composition and use cases are summarized in Table 1.</w:t>
      </w:r>
    </w:p>
    <w:p>
      <w:pPr>
        <w:spacing w:line="360" w:lineRule="auto" w:after="120"/>
      </w:pPr>
      <w:r>
        <w:rPr>
          <w:rFonts w:ascii="Times New Roman" w:hAnsi="Times New Roman" w:eastAsia="Times New Roman"/>
          <w:b w:val="0"/>
          <w:color w:val="000000"/>
          <w:sz w:val="24"/>
        </w:rPr>
        <w:t>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w:t>
      </w:r>
    </w:p>
    <w:p>
      <w:pPr>
        <w:pStyle w:val="Heading2"/>
        <w:spacing w:line="276" w:lineRule="auto" w:after="120"/>
      </w:pPr>
      <w:r>
        <w:rPr>
          <w:rFonts w:ascii="Times New Roman" w:hAnsi="Times New Roman" w:eastAsia="Times New Roman"/>
          <w:b/>
          <w:color w:val="000000"/>
          <w:sz w:val="26"/>
        </w:rPr>
        <w:t>Software and implementation</w:t>
      </w:r>
    </w:p>
    <w:p>
      <w:pPr>
        <w:spacing w:line="360" w:lineRule="auto" w:after="120"/>
      </w:pPr>
      <w:r>
        <w:rPr>
          <w:rFonts w:ascii="Times New Roman" w:hAnsi="Times New Roman" w:eastAsia="Times New Roman"/>
          <w:b w:val="0"/>
          <w:color w:val="000000"/>
          <w:sz w:val="24"/>
        </w:rPr>
        <w:t>The prototype and evaluation scripts were implemented in Python 3.10. The environment file specified numpy 1.26, python-dotenv, PyTorch, sentence-transformers, ragas, Streamlit, LlamaIndex, llama-index-core, llama-index-embeddings-huggingface, llama-index-llms-google-genai, and rank-bm25 0.2.2. The user-facing application was a Streamlit app. Indexing and evaluation were run from Python scripts in the project repository. The main implementation files were src/article_chunking.py, src/retrieval.py, src/prompts.py, src/engine.py, evaluation/publication_eval.py, evaluation/answer_quality.py, and evaluation/evaluation_statistics.py.</w:t>
      </w:r>
    </w:p>
    <w:p>
      <w:pPr>
        <w:spacing w:line="360" w:lineRule="auto" w:after="120"/>
      </w:pPr>
      <w:r>
        <w:rPr>
          <w:rFonts w:ascii="Times New Roman" w:hAnsi="Times New Roman" w:eastAsia="Times New Roman"/>
          <w:b w:val="0"/>
          <w:color w:val="000000"/>
          <w:sz w:val="24"/>
        </w:rPr>
        <w:t>The software implementation was derived from three course notebooks that progressed from a local LLM scaffold, to a chatbot, to a simple RAG application. The ANVISA project kept the teaching pattern of a Python environment, configuration module, model loader, engine, and app interface, but replaced the generic RAG design with regulatory source cleaning, article-aware indexing, hybrid retrieval, reranking, bilingual retrieval anchors, citation enforcement, refusal rules, and evaluation scripts. The local recovered ancestor of the ANVISA project is /Users/cmontefusco/Coding_projects/Rag_project; the original /Users/cmontefusco/Documents/DSAI2/Rag_project path is no longer present. A detailed decision trace is provided in Supplementary Table S5.</w:t>
      </w:r>
    </w:p>
    <w:p>
      <w:pPr>
        <w:spacing w:line="360" w:lineRule="auto" w:after="120"/>
      </w:pPr>
      <w:r>
        <w:rPr>
          <w:rFonts w:ascii="Times New Roman" w:hAnsi="Times New Roman" w:eastAsia="Times New Roman"/>
          <w:b w:val="0"/>
          <w:color w:val="000000"/>
          <w:sz w:val="24"/>
        </w:rPr>
        <w:t>The answer-generation model and the AI-judge model were both models/gemini-flash-lite-latest. The embedding model was sentence-transformers/all-MiniLM-L6-v2. The reranker was cross-encoder/mmarco-mMiniLMv2-L12-H384-v1. The local reproducibility package records the cache snapshot paths used during development, but model names rather than cache paths are the primary reproducibility identifiers because local paths are machine-specific.</w:t>
      </w:r>
    </w:p>
    <w:p>
      <w:pPr>
        <w:pStyle w:val="Heading2"/>
        <w:spacing w:line="276" w:lineRule="auto" w:after="120"/>
      </w:pPr>
      <w:r>
        <w:rPr>
          <w:rFonts w:ascii="Times New Roman" w:hAnsi="Times New Roman" w:eastAsia="Times New Roman"/>
          <w:b/>
          <w:color w:val="000000"/>
          <w:sz w:val="26"/>
        </w:rPr>
        <w:t>Corpus cleaning and article-aware chunking</w:t>
      </w:r>
    </w:p>
    <w:p>
      <w:pPr>
        <w:spacing w:line="360" w:lineRule="auto" w:after="120"/>
      </w:pPr>
      <w:r>
        <w:rPr>
          <w:rFonts w:ascii="Times New Roman" w:hAnsi="Times New Roman" w:eastAsia="Times New Roman"/>
          <w:b w:val="0"/>
          <w:color w:val="000000"/>
          <w:sz w:val="24"/>
        </w:rPr>
        <w:t>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spacing w:line="360" w:lineRule="auto" w:after="120"/>
      </w:pPr>
      <w:r>
        <w:rPr>
          <w:rFonts w:ascii="Times New Roman" w:hAnsi="Times New Roman" w:eastAsia="Times New Roman"/>
          <w:b w:val="0"/>
          <w:color w:val="000000"/>
          <w:sz w:val="24"/>
        </w:rPr>
        <w:t>Article chunking used a single-article maximum of 500 tokens. Longer articles were split into 400-token chunks with 60-token overlap. Embedding maximum length was 512 tokens. The final index audit recorded six source documents, 382 detected articles, 481 total chunks, 359 articles represented by a single chunk, and 23 long articles split into multiple chunks. Median chunk length was 155 tokens, maximum chunk length was 503 tokens, and no chunk exceeded 700 tokens. The closed-corpus workflow and index audit are shown in Figure 1.</w:t>
      </w:r>
    </w:p>
    <w:p>
      <w:pPr>
        <w:pStyle w:val="Heading2"/>
        <w:spacing w:line="276" w:lineRule="auto" w:after="120"/>
      </w:pPr>
      <w:r>
        <w:rPr>
          <w:rFonts w:ascii="Times New Roman" w:hAnsi="Times New Roman" w:eastAsia="Times New Roman"/>
          <w:b/>
          <w:color w:val="000000"/>
          <w:sz w:val="26"/>
        </w:rPr>
        <w:t>Retrieval, reranking, and answer generation</w:t>
      </w:r>
    </w:p>
    <w:p>
      <w:pPr>
        <w:spacing w:line="360" w:lineRule="auto" w:after="120"/>
      </w:pPr>
      <w:r>
        <w:rPr>
          <w:rFonts w:ascii="Times New Roman" w:hAnsi="Times New Roman" w:eastAsia="Times New Roman"/>
          <w:b w:val="0"/>
          <w:color w:val="000000"/>
          <w:sz w:val="24"/>
        </w:rPr>
        <w:t>Retrieval combined dense vector search and keyword search. Dense retrieval used the sentence-transformers embedding model. Keyword retrieval used BM25 over normalized text created from chunk content and metadata fields, including regulation identifier, document aliases, title, citation label, chapter, section, and topic tags. Normalization removed accents, lowercased text, and extracted alphanumeric tokens.</w:t>
      </w:r>
    </w:p>
    <w:p>
      <w:pPr>
        <w:spacing w:line="360" w:lineRule="auto" w:after="120"/>
      </w:pPr>
      <w:r>
        <w:rPr>
          <w:rFonts w:ascii="Times New Roman" w:hAnsi="Times New Roman" w:eastAsia="Times New Roman"/>
          <w:b w:val="0"/>
          <w:color w:val="000000"/>
          <w:sz w:val="24"/>
        </w:rP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The final answer context contained the top 5 reranked passages.</w:t>
      </w:r>
    </w:p>
    <w:p>
      <w:pPr>
        <w:spacing w:line="360" w:lineRule="auto" w:after="120"/>
      </w:pPr>
      <w:r>
        <w:rPr>
          <w:rFonts w:ascii="Times New Roman" w:hAnsi="Times New Roman" w:eastAsia="Times New Roman"/>
          <w:b w:val="0"/>
          <w:color w:val="000000"/>
          <w:sz w:val="24"/>
        </w:rPr>
        <w:t>English questions were answered in English, but retrieval was allowed to include conservative Portuguese anchors because the source documents were in Portuguese. Anchors included clinical trial/ensaio clinico, sponsor/patrocinador, biological product/produto biologico, medical device/dispositivo medico, stability study/estudo de estabilidade, and pharmacovigilance/farmacovigilancia. The original question remained visible to the answer model. These anchors were retrieval aids only; they did not add facts to the answer.</w:t>
      </w:r>
    </w:p>
    <w:p>
      <w:pPr>
        <w:spacing w:line="360" w:lineRule="auto" w:after="120"/>
      </w:pPr>
      <w:r>
        <w:rPr>
          <w:rFonts w:ascii="Times New Roman" w:hAnsi="Times New Roman" w:eastAsia="Times New Roman"/>
          <w:b w:val="0"/>
          <w:color w:val="000000"/>
          <w:sz w:val="24"/>
        </w:rP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pStyle w:val="Heading2"/>
        <w:spacing w:line="276" w:lineRule="auto" w:after="120"/>
      </w:pPr>
      <w:r>
        <w:rPr>
          <w:rFonts w:ascii="Times New Roman" w:hAnsi="Times New Roman" w:eastAsia="Times New Roman"/>
          <w:b/>
          <w:color w:val="000000"/>
          <w:sz w:val="26"/>
        </w:rPr>
        <w:t>Benchmark</w:t>
      </w:r>
    </w:p>
    <w:p>
      <w:pPr>
        <w:spacing w:line="360" w:lineRule="auto" w:after="120"/>
      </w:pPr>
      <w:r>
        <w:rPr>
          <w:rFonts w:ascii="Times New Roman" w:hAnsi="Times New Roman" w:eastAsia="Times New Roman"/>
          <w:b w:val="0"/>
          <w:color w:val="000000"/>
          <w:sz w:val="24"/>
        </w:rPr>
        <w:t>The main benchmark contained 200 bilingual questions: 70 Portuguese answerable questions, 70 English answerable questions, 20 multi-article or exception questions, and 40 unanswerable or adversarial questions. The benchmark had 100 Portuguese rows and 100 English rows organized as bilingual pairs. The audit recorded 78 unique gold article citations. Benchmark structure and gold source coverage are shown in Figure 2.</w:t>
      </w:r>
    </w:p>
    <w:p>
      <w:pPr>
        <w:spacing w:line="360" w:lineRule="auto" w:after="120"/>
      </w:pPr>
      <w:r>
        <w:rPr>
          <w:rFonts w:ascii="Times New Roman" w:hAnsi="Times New Roman" w:eastAsia="Times New Roman"/>
          <w:b w:val="0"/>
          <w:color w:val="000000"/>
          <w:sz w:val="24"/>
        </w:rP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pStyle w:val="Heading2"/>
        <w:spacing w:line="276" w:lineRule="auto" w:after="120"/>
      </w:pPr>
      <w:r>
        <w:rPr>
          <w:rFonts w:ascii="Times New Roman" w:hAnsi="Times New Roman" w:eastAsia="Times New Roman"/>
          <w:b/>
          <w:color w:val="000000"/>
          <w:sz w:val="26"/>
        </w:rPr>
        <w:t>Automated AI judge and scoring rules</w:t>
      </w:r>
    </w:p>
    <w:p>
      <w:pPr>
        <w:spacing w:line="360" w:lineRule="auto" w:after="120"/>
      </w:pPr>
      <w:r>
        <w:rPr>
          <w:rFonts w:ascii="Times New Roman" w:hAnsi="Times New Roman" w:eastAsia="Times New Roman"/>
          <w:b w:val="0"/>
          <w:color w:val="000000"/>
          <w:sz w:val="24"/>
        </w:rPr>
        <w:t>Automated judging was used because an independent two-expert panel was not available. This limits the claim level. The automated judge was used as a structured technical scoring tool, not as an independent regulatory expert.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w:t>
      </w:r>
    </w:p>
    <w:p>
      <w:pPr>
        <w:spacing w:line="360" w:lineRule="auto" w:after="120"/>
      </w:pPr>
      <w:r>
        <w:rPr>
          <w:rFonts w:ascii="Times New Roman" w:hAnsi="Times New Roman" w:eastAsia="Times New Roman"/>
          <w:b w:val="0"/>
          <w:color w:val="000000"/>
          <w:sz w:val="24"/>
        </w:rP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spacing w:line="360" w:lineRule="auto" w:after="120"/>
      </w:pPr>
      <w:r>
        <w:rPr>
          <w:rFonts w:ascii="Times New Roman" w:hAnsi="Times New Roman" w:eastAsia="Times New Roman"/>
          <w:b w:val="0"/>
          <w:color w:val="000000"/>
          <w:sz w:val="24"/>
        </w:rP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pStyle w:val="Heading2"/>
        <w:spacing w:line="276" w:lineRule="auto" w:after="120"/>
      </w:pPr>
      <w:r>
        <w:rPr>
          <w:rFonts w:ascii="Times New Roman" w:hAnsi="Times New Roman" w:eastAsia="Times New Roman"/>
          <w:b/>
          <w:color w:val="000000"/>
          <w:sz w:val="26"/>
        </w:rPr>
        <w:t>Evaluation stages and leakage control</w:t>
      </w:r>
    </w:p>
    <w:p>
      <w:pPr>
        <w:spacing w:line="360" w:lineRule="auto" w:after="120"/>
      </w:pPr>
      <w:r>
        <w:rPr>
          <w:rFonts w:ascii="Times New Roman" w:hAnsi="Times New Roman" w:eastAsia="Times New Roman"/>
          <w:b w:val="0"/>
          <w:color w:val="000000"/>
          <w:sz w:val="24"/>
        </w:rPr>
        <w:t>Development runs were used to identify and repair failures. Internal held-out runs were used to check the repaired system on the curated benchmark. When internal results became high, an AI-authored prospective stress test was run once to test whether the internal pattern generalized. That first AI-authored prospective stress test was treated as diagnostic prospective evidence and was not used directly for tuning. After it identified refusal calibration as the main weakness, refusal rules were adjusted using a separate development set. A second refusal-focused AI-authored test was then used to evaluate the repair.</w:t>
      </w:r>
    </w:p>
    <w:p>
      <w:pPr>
        <w:spacing w:line="360" w:lineRule="auto" w:after="120"/>
      </w:pPr>
      <w:r>
        <w:rPr>
          <w:rFonts w:ascii="Times New Roman" w:hAnsi="Times New Roman" w:eastAsia="Times New Roman"/>
          <w:b w:val="0"/>
          <w:color w:val="000000"/>
          <w:sz w:val="24"/>
        </w:rPr>
        <w:t>The first AI-authored prospective stress test contained 50 questions organized as 25 bilingual pairs. It included 40 answerable questions and 10 unanswerable or adversarial questions. The first AI-authored prospective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pStyle w:val="Heading2"/>
        <w:spacing w:line="276" w:lineRule="auto" w:after="120"/>
      </w:pPr>
      <w:r>
        <w:rPr>
          <w:rFonts w:ascii="Times New Roman" w:hAnsi="Times New Roman" w:eastAsia="Times New Roman"/>
          <w:b/>
          <w:color w:val="000000"/>
          <w:sz w:val="26"/>
        </w:rPr>
        <w:t>Statistical handling and audit trail</w:t>
      </w:r>
    </w:p>
    <w:p>
      <w:pPr>
        <w:spacing w:line="360" w:lineRule="auto" w:after="120"/>
      </w:pPr>
      <w:r>
        <w:rPr>
          <w:rFonts w:ascii="Times New Roman" w:hAnsi="Times New Roman" w:eastAsia="Times New Roman"/>
          <w:b w:val="0"/>
          <w:color w:val="000000"/>
          <w:sz w:val="24"/>
        </w:rPr>
        <w:t>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w:t>
      </w:r>
    </w:p>
    <w:p>
      <w:pPr>
        <w:spacing w:line="360" w:lineRule="auto" w:after="120"/>
      </w:pPr>
      <w:r>
        <w:rPr>
          <w:rFonts w:ascii="Times New Roman" w:hAnsi="Times New Roman" w:eastAsia="Times New Roman"/>
          <w:b w:val="0"/>
          <w:color w:val="000000"/>
          <w:sz w:val="24"/>
        </w:rP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pStyle w:val="Heading1"/>
        <w:spacing w:line="276" w:lineRule="auto" w:after="120"/>
      </w:pPr>
      <w:r>
        <w:rPr>
          <w:rFonts w:ascii="Times New Roman" w:hAnsi="Times New Roman" w:eastAsia="Times New Roman"/>
          <w:b/>
          <w:color w:val="000000"/>
          <w:sz w:val="26"/>
        </w:rPr>
        <w:t>Results</w:t>
      </w:r>
    </w:p>
    <w:p>
      <w:pPr>
        <w:pStyle w:val="Heading2"/>
        <w:spacing w:line="276" w:lineRule="auto" w:after="120"/>
      </w:pPr>
      <w:r>
        <w:rPr>
          <w:rFonts w:ascii="Times New Roman" w:hAnsi="Times New Roman" w:eastAsia="Times New Roman"/>
          <w:b/>
          <w:color w:val="000000"/>
          <w:sz w:val="26"/>
        </w:rPr>
        <w:t>Corpus and benchmark construction</w:t>
      </w:r>
    </w:p>
    <w:p>
      <w:pPr>
        <w:spacing w:line="360" w:lineRule="auto" w:after="120"/>
      </w:pPr>
      <w:r>
        <w:rPr>
          <w:rFonts w:ascii="Times New Roman" w:hAnsi="Times New Roman" w:eastAsia="Times New Roman"/>
          <w:b w:val="0"/>
          <w:color w:val="000000"/>
          <w:sz w:val="24"/>
        </w:rPr>
        <w:t>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w:t>
      </w:r>
    </w:p>
    <w:p>
      <w:pPr>
        <w:spacing w:line="360" w:lineRule="auto" w:after="120"/>
      </w:pPr>
      <w:r>
        <w:rPr>
          <w:rFonts w:ascii="Times New Roman" w:hAnsi="Times New Roman" w:eastAsia="Times New Roman"/>
          <w:b w:val="0"/>
          <w:color w:val="000000"/>
          <w:sz w:val="24"/>
        </w:rPr>
        <w:t>The 200-question benchmark was balanced by language and included the intended mix of regulatory question types (Figure 2). Gold evidence covered 78 unique article citations. The source coverage was distributed across the six regulations, including clinical-trial, pharmacovigilance, biological-product, medical-device, and reliance questions. This structure was important because high performance on direct clinical-trial questions alone would not show whether the system handled rule-plus-exception or refusal boundaries.</w:t>
      </w:r>
    </w:p>
    <w:p>
      <w:pPr>
        <w:pStyle w:val="Heading2"/>
        <w:spacing w:line="276" w:lineRule="auto" w:after="120"/>
      </w:pPr>
      <w:r>
        <w:rPr>
          <w:rFonts w:ascii="Times New Roman" w:hAnsi="Times New Roman" w:eastAsia="Times New Roman"/>
          <w:b/>
          <w:color w:val="000000"/>
          <w:sz w:val="26"/>
        </w:rPr>
        <w:t>Direct article questions</w:t>
      </w:r>
    </w:p>
    <w:p>
      <w:pPr>
        <w:spacing w:line="360" w:lineRule="auto" w:after="120"/>
      </w:pPr>
      <w:r>
        <w:rPr>
          <w:rFonts w:ascii="Times New Roman" w:hAnsi="Times New Roman" w:eastAsia="Times New Roman"/>
          <w:b w:val="0"/>
          <w:color w:val="000000"/>
          <w:sz w:val="24"/>
        </w:rP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spacing w:line="360" w:lineRule="auto" w:after="120"/>
      </w:pPr>
      <w:r>
        <w:rPr>
          <w:rFonts w:ascii="Times New Roman" w:hAnsi="Times New Roman" w:eastAsia="Times New Roman"/>
          <w:b w:val="0"/>
          <w:color w:val="000000"/>
          <w:sz w:val="24"/>
        </w:rP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spacing w:line="276" w:lineRule="auto" w:after="120"/>
      </w:pPr>
      <w:r>
        <w:rPr>
          <w:rFonts w:ascii="Times New Roman" w:hAnsi="Times New Roman" w:eastAsia="Times New Roman"/>
          <w:b/>
          <w:color w:val="000000"/>
          <w:sz w:val="26"/>
        </w:rPr>
        <w:t>Internal development metrics</w:t>
      </w:r>
    </w:p>
    <w:p>
      <w:pPr>
        <w:spacing w:line="360" w:lineRule="auto" w:after="120"/>
      </w:pPr>
      <w:r>
        <w:rPr>
          <w:rFonts w:ascii="Times New Roman" w:hAnsi="Times New Roman" w:eastAsia="Times New Roman"/>
          <w:b w:val="0"/>
          <w:color w:val="000000"/>
          <w:sz w:val="24"/>
        </w:rPr>
        <w:t>The first held-out AI-judge evaluation showed high faithfulness but weaker completeness. Among 120 answerable internal held-out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spacing w:line="360" w:lineRule="auto" w:after="120"/>
      </w:pPr>
      <w:r>
        <w:rPr>
          <w:rFonts w:ascii="Times New Roman" w:hAnsi="Times New Roman" w:eastAsia="Times New Roman"/>
          <w:b w:val="0"/>
          <w:color w:val="000000"/>
          <w:sz w:val="24"/>
        </w:rPr>
        <w:t>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They should not be interpreted as paired repeated-measure improvements because the stages used different evaluation sets. The row-level judge outputs and stage recommendations are reported in Supplementary Data S2.</w:t>
      </w:r>
    </w:p>
    <w:p>
      <w:pPr>
        <w:spacing w:line="360" w:lineRule="auto" w:after="120"/>
      </w:pPr>
      <w:r>
        <w:rPr>
          <w:rFonts w:ascii="Times New Roman" w:hAnsi="Times New Roman" w:eastAsia="Times New Roman"/>
          <w:b w:val="0"/>
          <w:color w:val="000000"/>
          <w:sz w:val="24"/>
        </w:rPr>
        <w:t>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prospective stress test was therefore run as a challenge to the internal pattern. Its refusal correctness of 0.700 showed that the internal 1.000 refusal result was too narrow for reliability claims. The AI-judge dossier documents this as a diagnostic recommendation rather than a tuning result.</w:t>
      </w:r>
    </w:p>
    <w:p>
      <w:pPr>
        <w:pStyle w:val="Heading2"/>
        <w:spacing w:line="276" w:lineRule="auto" w:after="120"/>
      </w:pPr>
      <w:r>
        <w:rPr>
          <w:rFonts w:ascii="Times New Roman" w:hAnsi="Times New Roman" w:eastAsia="Times New Roman"/>
          <w:b/>
          <w:color w:val="000000"/>
          <w:sz w:val="26"/>
        </w:rPr>
        <w:t>Completeness errors</w:t>
      </w:r>
    </w:p>
    <w:p>
      <w:pPr>
        <w:spacing w:line="360" w:lineRule="auto" w:after="120"/>
      </w:pPr>
      <w:r>
        <w:rPr>
          <w:rFonts w:ascii="Times New Roman" w:hAnsi="Times New Roman" w:eastAsia="Times New Roman"/>
          <w:b w:val="0"/>
          <w:color w:val="000000"/>
          <w:sz w:val="24"/>
        </w:rP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spacing w:line="360" w:lineRule="auto" w:after="120"/>
      </w:pPr>
      <w:r>
        <w:rPr>
          <w:rFonts w:ascii="Times New Roman" w:hAnsi="Times New Roman" w:eastAsia="Times New Roman"/>
          <w:b w:val="0"/>
          <w:color w:val="000000"/>
          <w:sz w:val="24"/>
        </w:rP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spacing w:line="360" w:lineRule="auto" w:after="120"/>
      </w:pPr>
      <w:r>
        <w:rPr>
          <w:rFonts w:ascii="Times New Roman" w:hAnsi="Times New Roman" w:eastAsia="Times New Roman"/>
          <w:b w:val="0"/>
          <w:color w:val="000000"/>
          <w:sz w:val="24"/>
        </w:rP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and representative answer outcomes are provided in Table 3.</w:t>
      </w:r>
    </w:p>
    <w:p>
      <w:pPr>
        <w:pStyle w:val="Heading2"/>
        <w:spacing w:line="276" w:lineRule="auto" w:after="120"/>
      </w:pPr>
      <w:r>
        <w:rPr>
          <w:rFonts w:ascii="Times New Roman" w:hAnsi="Times New Roman" w:eastAsia="Times New Roman"/>
          <w:b/>
          <w:color w:val="000000"/>
          <w:sz w:val="26"/>
        </w:rPr>
        <w:t>AI-authored prospective stress test</w:t>
      </w:r>
    </w:p>
    <w:p>
      <w:pPr>
        <w:spacing w:line="360" w:lineRule="auto" w:after="120"/>
      </w:pPr>
      <w:r>
        <w:rPr>
          <w:rFonts w:ascii="Times New Roman" w:hAnsi="Times New Roman" w:eastAsia="Times New Roman"/>
          <w:b w:val="0"/>
          <w:color w:val="000000"/>
          <w:sz w:val="24"/>
        </w:rPr>
        <w:t>The first AI-authored prospective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spacing w:line="360" w:lineRule="auto" w:after="120"/>
      </w:pPr>
      <w:r>
        <w:rPr>
          <w:rFonts w:ascii="Times New Roman" w:hAnsi="Times New Roman" w:eastAsia="Times New Roman"/>
          <w:b w:val="0"/>
          <w:color w:val="000000"/>
          <w:sz w:val="24"/>
        </w:rPr>
        <w:t>The same test exposed refusal behavior as the main remaining weakness. Literal refusal detection for unanswerable/adversarial questions was 0.600, and AI-judge refusal correctness was 0.700.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spacing w:line="360" w:lineRule="auto" w:after="120"/>
      </w:pPr>
      <w:r>
        <w:rPr>
          <w:rFonts w:ascii="Times New Roman" w:hAnsi="Times New Roman" w:eastAsia="Times New Roman"/>
          <w:b w:val="0"/>
          <w:color w:val="000000"/>
          <w:sz w:val="24"/>
        </w:rPr>
        <w:t>Language-specific prospective-test results were similar but not identical. Among answerable prospective-test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spacing w:line="276" w:lineRule="auto" w:after="120"/>
      </w:pPr>
      <w:r>
        <w:rPr>
          <w:rFonts w:ascii="Times New Roman" w:hAnsi="Times New Roman" w:eastAsia="Times New Roman"/>
          <w:b/>
          <w:color w:val="000000"/>
          <w:sz w:val="26"/>
        </w:rPr>
        <w:t>Refusal calibration</w:t>
      </w:r>
    </w:p>
    <w:p>
      <w:pPr>
        <w:spacing w:line="360" w:lineRule="auto" w:after="120"/>
      </w:pPr>
      <w:r>
        <w:rPr>
          <w:rFonts w:ascii="Times New Roman" w:hAnsi="Times New Roman" w:eastAsia="Times New Roman"/>
          <w:b w:val="0"/>
          <w:color w:val="000000"/>
          <w:sz w:val="24"/>
        </w:rPr>
        <w:t>After the first AI-authored prospective stress test, refusal rules were revised using a separate refusal-development set.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spacing w:line="360" w:lineRule="auto" w:after="120"/>
      </w:pPr>
      <w:r>
        <w:rPr>
          <w:rFonts w:ascii="Times New Roman" w:hAnsi="Times New Roman" w:eastAsia="Times New Roman"/>
          <w:b w:val="0"/>
          <w:color w:val="000000"/>
          <w:sz w:val="24"/>
        </w:rPr>
        <w:t>In the later refusal-focused AI-authored test, the system correctly refused 17 of 18 unanswerable questions by AI-judge scoring, giving refusal correctness 0.944. It did not over-refuse the answerable controls: answerable-control faithfulness was 1.000, citation correctness was 1.000, and completeness was 0.908. This improvement and the completeness trade-off are shown in Figure 3B. The result suggests that refusal calibration improved abstention behavior, but it also shows a cost: answerable-control completeness was lower than in the first AI-authored prospective stress test. The question-level judge rationales and remaining boundary failure are reported in Supplementary Data S2.</w:t>
      </w:r>
    </w:p>
    <w:p>
      <w:pPr>
        <w:spacing w:line="360" w:lineRule="auto" w:after="120"/>
      </w:pPr>
      <w:r>
        <w:rPr>
          <w:rFonts w:ascii="Times New Roman" w:hAnsi="Times New Roman" w:eastAsia="Times New Roman"/>
          <w:b w:val="0"/>
          <w:color w:val="000000"/>
          <w:sz w:val="24"/>
        </w:rPr>
        <w:t>The remaining boundary problem involved questions where the corpus contained a related general rule but not the exact requested fact. This is a regulatory risk because related evidence can sound persuasive while still being insufficient. The safest interpretation is that refusal improved, not that refusal was solved.</w:t>
      </w:r>
    </w:p>
    <w:p>
      <w:pPr>
        <w:pStyle w:val="Heading2"/>
        <w:spacing w:line="276" w:lineRule="auto" w:after="120"/>
      </w:pPr>
      <w:r>
        <w:rPr>
          <w:rFonts w:ascii="Times New Roman" w:hAnsi="Times New Roman" w:eastAsia="Times New Roman"/>
          <w:b/>
          <w:color w:val="000000"/>
          <w:sz w:val="26"/>
        </w:rPr>
        <w:t>Summary of quantitative evaluation</w:t>
      </w:r>
    </w:p>
    <w:p>
      <w:pPr>
        <w:spacing w:line="360" w:lineRule="auto" w:after="120"/>
      </w:pPr>
      <w:r>
        <w:rPr>
          <w:rFonts w:ascii="Times New Roman" w:hAnsi="Times New Roman" w:eastAsia="Times New Roman"/>
          <w:b w:val="0"/>
          <w:color w:val="000000"/>
          <w:sz w:val="24"/>
        </w:rPr>
        <w:t>Across the development path, the main metrics changed in ways that affected the project interpretation. Initial internal held-out answer completeness was 0.808 overall for answerable rows, with English completeness 0.645. After targeted English repair, the English repair set reached completeness 0.995. After Portuguese residual-quality repair, the Portuguese repair set reached completeness 0.995. These internal repair results were not treated as independent proof because they followed error review and targeted changes.</w:t>
      </w:r>
    </w:p>
    <w:p>
      <w:pPr>
        <w:spacing w:line="360" w:lineRule="auto" w:after="120"/>
      </w:pPr>
      <w:r>
        <w:rPr>
          <w:rFonts w:ascii="Times New Roman" w:hAnsi="Times New Roman" w:eastAsia="Times New Roman"/>
          <w:b w:val="0"/>
          <w:color w:val="000000"/>
          <w:sz w:val="24"/>
        </w:rPr>
        <w:t>The first AI-authored prospective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refusal-focused AI-authored test after separate calibration improved refusal correctness to 0.944 but had answerable-control completeness 0.908. Thus the main residual problem shifted from retrieval and language support to the boundary between partial related evidence and sufficient evidence.</w:t>
      </w:r>
    </w:p>
    <w:p>
      <w:pPr>
        <w:pStyle w:val="Heading1"/>
        <w:spacing w:line="276" w:lineRule="auto" w:after="120"/>
      </w:pPr>
      <w:r>
        <w:rPr>
          <w:rFonts w:ascii="Times New Roman" w:hAnsi="Times New Roman" w:eastAsia="Times New Roman"/>
          <w:b/>
          <w:color w:val="000000"/>
          <w:sz w:val="26"/>
        </w:rPr>
        <w:t>Discussion</w:t>
      </w:r>
    </w:p>
    <w:p>
      <w:pPr>
        <w:pStyle w:val="Heading2"/>
        <w:spacing w:line="276" w:lineRule="auto" w:after="120"/>
      </w:pPr>
      <w:r>
        <w:rPr>
          <w:rFonts w:ascii="Times New Roman" w:hAnsi="Times New Roman" w:eastAsia="Times New Roman"/>
          <w:b/>
          <w:color w:val="000000"/>
          <w:sz w:val="26"/>
        </w:rPr>
        <w:t>Principal finding</w:t>
      </w:r>
    </w:p>
    <w:p>
      <w:pPr>
        <w:spacing w:line="360" w:lineRule="auto" w:after="120"/>
      </w:pPr>
      <w:r>
        <w:rPr>
          <w:rFonts w:ascii="Times New Roman" w:hAnsi="Times New Roman" w:eastAsia="Times New Roman"/>
          <w:b w:val="0"/>
          <w:color w:val="000000"/>
          <w:sz w:val="24"/>
        </w:rPr>
        <w:t>The main finding is not that the system achieved high average scores. The main finding is that a bilingual RAG prototype can support traceable access to selected ANVISA documents when it is evaluated as a closed-corpus evidence-location tool. Its usefulness depends on three controls: article citation, completeness checking, and refusal when the indexed documents do not contain the requested fact.</w:t>
      </w:r>
    </w:p>
    <w:p>
      <w:pPr>
        <w:spacing w:line="360" w:lineRule="auto" w:after="120"/>
      </w:pPr>
      <w:r>
        <w:rPr>
          <w:rFonts w:ascii="Times New Roman" w:hAnsi="Times New Roman" w:eastAsia="Times New Roman"/>
          <w:b w:val="0"/>
          <w:color w:val="000000"/>
          <w:sz w:val="24"/>
        </w:rPr>
        <w:t>This is a regulatory-science finding because it concerns how AI-mediated information access behaves in realistic regulatory questions. The system was useful when it led the user to the right article and summarized the article without adding unsupported information. It was less reliable when the answer required a complete list, a rule-plus-exception structure, or a distinction between current operational facts and static regulatory text.</w:t>
      </w:r>
    </w:p>
    <w:p>
      <w:pPr>
        <w:pStyle w:val="Heading2"/>
        <w:spacing w:line="276" w:lineRule="auto" w:after="120"/>
      </w:pPr>
      <w:r>
        <w:rPr>
          <w:rFonts w:ascii="Times New Roman" w:hAnsi="Times New Roman" w:eastAsia="Times New Roman"/>
          <w:b/>
          <w:color w:val="000000"/>
          <w:sz w:val="26"/>
        </w:rPr>
        <w:t>Why examples and quantitative metrics both matter</w:t>
      </w:r>
    </w:p>
    <w:p>
      <w:pPr>
        <w:spacing w:line="360" w:lineRule="auto" w:after="120"/>
      </w:pPr>
      <w:r>
        <w:rPr>
          <w:rFonts w:ascii="Times New Roman" w:hAnsi="Times New Roman" w:eastAsia="Times New Roman"/>
          <w:b w:val="0"/>
          <w:color w:val="000000"/>
          <w:sz w:val="24"/>
        </w:rPr>
        <w:t>The results support using both metrics and examples. Metrics showed the overall pattern: high answerable-question retrieval and grounding, lower refusal correctness in the first AI-authored prospective stress test, and improved refusal correctness after calibration. Examples showed why the scores matter. An average completeness score does not tell the reader whether the omitted item was trivial or operationally important. In this project, omissions involved active-search obligations, ICH E2F conditions, market-availability requirements for instructions for use, the general rule before a biological-product exception, and a 30-business-day deadline.</w:t>
      </w:r>
    </w:p>
    <w:p>
      <w:pPr>
        <w:spacing w:line="360" w:lineRule="auto" w:after="120"/>
      </w:pPr>
      <w:r>
        <w:rPr>
          <w:rFonts w:ascii="Times New Roman" w:hAnsi="Times New Roman" w:eastAsia="Times New Roman"/>
          <w:b w:val="0"/>
          <w:color w:val="000000"/>
          <w:sz w:val="24"/>
        </w:rPr>
        <w:t>The same point applies to refusal. A question about a current phone number, current MedDRA version, petition subject code, exact form model, or private case status may sound regulatory, but the answer may not be in a closed corpus of resolutions. A system that answers such questions from nearby text can create false confidence. Refusal correctness should therefore be reported as a primary endpoint, not as a minor safety note.</w:t>
      </w:r>
    </w:p>
    <w:p>
      <w:pPr>
        <w:pStyle w:val="Heading2"/>
        <w:spacing w:line="276" w:lineRule="auto" w:after="120"/>
      </w:pPr>
      <w:r>
        <w:rPr>
          <w:rFonts w:ascii="Times New Roman" w:hAnsi="Times New Roman" w:eastAsia="Times New Roman"/>
          <w:b/>
          <w:color w:val="000000"/>
          <w:sz w:val="26"/>
        </w:rPr>
        <w:t>Implications for drug development and regulatory affairs</w:t>
      </w:r>
    </w:p>
    <w:p>
      <w:pPr>
        <w:spacing w:line="360" w:lineRule="auto" w:after="120"/>
      </w:pPr>
      <w:r>
        <w:rPr>
          <w:rFonts w:ascii="Times New Roman" w:hAnsi="Times New Roman" w:eastAsia="Times New Roman"/>
          <w:b w:val="0"/>
          <w:color w:val="000000"/>
          <w:sz w:val="24"/>
        </w:rPr>
        <w:t>The most realistic use of this prototype is assisted navigation of a defined document set. A regulatory user could ask a question, receive a short answer, and inspect the cited article. This could reduce time spent searching across long Portuguese documents, especially for international teams working in English.</w:t>
      </w:r>
    </w:p>
    <w:p>
      <w:pPr>
        <w:spacing w:line="360" w:lineRule="auto" w:after="120"/>
      </w:pPr>
      <w:r>
        <w:rPr>
          <w:rFonts w:ascii="Times New Roman" w:hAnsi="Times New Roman" w:eastAsia="Times New Roman"/>
          <w:b w:val="0"/>
          <w:color w:val="000000"/>
          <w:sz w:val="24"/>
        </w:rPr>
        <w:t>The system should not be used as a stand-alone regulatory decision tool. It does not know whether a document is still the complete current legal basis for a submission. It does not access current portals, fee schedules, forms, company-specific status, or authority correspondence. It does not replace regulatory judgment. Its value is narrower: it can help locate and summarize evidence inside the documents it has indexed.</w:t>
      </w:r>
    </w:p>
    <w:p>
      <w:pPr>
        <w:spacing w:line="360" w:lineRule="auto" w:after="120"/>
      </w:pPr>
      <w:r>
        <w:rPr>
          <w:rFonts w:ascii="Times New Roman" w:hAnsi="Times New Roman" w:eastAsia="Times New Roman"/>
          <w:b w:val="0"/>
          <w:color w:val="000000"/>
          <w:sz w:val="24"/>
        </w:rPr>
        <w:t>The examples map to ordinary decision points in development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 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 These examples are narrow evidence-location tasks, which is the level at which a closed-corpus RAG tool can be tested responsibly.</w:t>
      </w:r>
    </w:p>
    <w:p>
      <w:pPr>
        <w:pStyle w:val="Heading2"/>
        <w:spacing w:line="276" w:lineRule="auto" w:after="120"/>
      </w:pPr>
      <w:r>
        <w:rPr>
          <w:rFonts w:ascii="Times New Roman" w:hAnsi="Times New Roman" w:eastAsia="Times New Roman"/>
          <w:b/>
          <w:color w:val="000000"/>
          <w:sz w:val="26"/>
        </w:rPr>
        <w:t>Intended users and confidence boundary</w:t>
      </w:r>
    </w:p>
    <w:p>
      <w:pPr>
        <w:spacing w:line="360" w:lineRule="auto" w:after="120"/>
      </w:pPr>
      <w:r>
        <w:rPr>
          <w:rFonts w:ascii="Times New Roman" w:hAnsi="Times New Roman" w:eastAsia="Times New Roman"/>
          <w:b w:val="0"/>
          <w:color w:val="000000"/>
          <w:sz w:val="24"/>
        </w:rPr>
        <w:t>The most likely users are regulatory affairs staff, clinical-development teams, pharmacovigilance teams, CMC or biological-product teams, medical-device regulatory teams, and international collaborators who need to work with Portuguese ANVISA documents. These users would not use the system in the same way at every point in development. In early development, the tool could help identify which regulation and article are relevant to a planning question. During clinical-trial preparation, it could support checks on DDCM procedures, DSUR timing, SUSAR reporting, and trial-conduct rules. During dossier preparation, it could help draft internal evidence summaries that are later checked by a regulatory professional. During submission quality control, it could help verify whether a dossier statement has an article-level source in the selected corpus.</w:t>
      </w:r>
    </w:p>
    <w:p>
      <w:pPr>
        <w:spacing w:line="360" w:lineRule="auto" w:after="120"/>
      </w:pPr>
      <w:r>
        <w:rPr>
          <w:rFonts w:ascii="Times New Roman" w:hAnsi="Times New Roman" w:eastAsia="Times New Roman"/>
          <w:b w:val="0"/>
          <w:color w:val="000000"/>
          <w:sz w:val="24"/>
        </w:rPr>
        <w:t>Confidence should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spacing w:line="276" w:lineRule="auto" w:after="120"/>
      </w:pPr>
      <w:r>
        <w:rPr>
          <w:rFonts w:ascii="Times New Roman" w:hAnsi="Times New Roman" w:eastAsia="Times New Roman"/>
          <w:b/>
          <w:color w:val="000000"/>
          <w:sz w:val="26"/>
        </w:rPr>
        <w:t>Comparison with prior work</w:t>
      </w:r>
    </w:p>
    <w:p>
      <w:pPr>
        <w:spacing w:line="360" w:lineRule="auto" w:after="120"/>
      </w:pPr>
      <w:r>
        <w:rPr>
          <w:rFonts w:ascii="Times New Roman" w:hAnsi="Times New Roman" w:eastAsia="Times New Roman"/>
          <w:b w:val="0"/>
          <w:color w:val="000000"/>
          <w:sz w:val="24"/>
        </w:rPr>
        <w:t>The prior TIRS study on generative AI search of FDA guidance documents reported both potential and limitations [2]. The present study supports the same general direction but adds a bilingual ANVISA use case and a stronger focus on refusal and article-level evidence. Together, these studies suggest that regulatory RAG systems should be evaluated not only by whether they retrieve a source, but by whether they answer the specific question completely and refuse unsupported questions.</w:t>
      </w:r>
    </w:p>
    <w:p>
      <w:pPr>
        <w:spacing w:line="360" w:lineRule="auto" w:after="120"/>
      </w:pPr>
      <w:r>
        <w:rPr>
          <w:rFonts w:ascii="Times New Roman" w:hAnsi="Times New Roman" w:eastAsia="Times New Roman"/>
          <w:b w:val="0"/>
          <w:color w:val="000000"/>
          <w:sz w:val="24"/>
        </w:rPr>
        <w:t>The ANVISA setting also adds a cross-language dimension. English questions were not simply translated answers; they tested whether international users could ask about Portuguese regulatory documents using familiar English regulatory terms. The project found that bilingual access was feasible, but terminology support was needed. This has practical relevance for companies, academic sponsors, and international collaborators who work with Brazilian requirements but may not formulate questions in Portuguese.</w:t>
      </w:r>
    </w:p>
    <w:p>
      <w:pPr>
        <w:pStyle w:val="Heading1"/>
        <w:spacing w:line="276" w:lineRule="auto" w:after="120"/>
      </w:pPr>
      <w:r>
        <w:rPr>
          <w:rFonts w:ascii="Times New Roman" w:hAnsi="Times New Roman" w:eastAsia="Times New Roman"/>
          <w:b/>
          <w:color w:val="000000"/>
          <w:sz w:val="26"/>
        </w:rPr>
        <w:t>Limitations</w:t>
      </w:r>
    </w:p>
    <w:p>
      <w:pPr>
        <w:spacing w:line="360" w:lineRule="auto" w:after="120"/>
      </w:pPr>
      <w:r>
        <w:rPr>
          <w:rFonts w:ascii="Times New Roman" w:hAnsi="Times New Roman" w:eastAsia="Times New Roman"/>
          <w:b w:val="0"/>
          <w:color w:val="000000"/>
          <w:sz w:val="24"/>
        </w:rPr>
        <w:t>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Some internal results may be inflated because the system was improved after error review. The first AI-authored prospective stress test required artifact recovery after output files were moved; preserved settings were used, but this should be reported transparently. Finally, the prototype was tested offline and not in a prospective regulatory-affairs workflow.</w:t>
      </w:r>
    </w:p>
    <w:p>
      <w:pPr>
        <w:spacing w:line="360" w:lineRule="auto" w:after="120"/>
      </w:pPr>
      <w:r>
        <w:rPr>
          <w:rFonts w:ascii="Times New Roman" w:hAnsi="Times New Roman" w:eastAsia="Times New Roman"/>
          <w:b w:val="0"/>
          <w:color w:val="000000"/>
          <w:sz w:val="24"/>
        </w:rPr>
        <w:t>The AI judge is also a limitation. It can score consistency between a question, expected answer, generated answer, and retrieved evidence, but it cannot certify regulatory correctness. The answer model and automated judge used the same Gemini model family, which may overestimate answer quality through same-model-family grading. Continuous AI-judge means should therefore be read as reproducibility-oriented technical indicators. They are useful because they are auditable and applied consistently, and Supplementary Data S2 exposes the question-level rationales and recommendations, but they are not a substitute for blinded expert review.</w:t>
      </w:r>
    </w:p>
    <w:p>
      <w:pPr>
        <w:pStyle w:val="Heading1"/>
        <w:spacing w:line="276" w:lineRule="auto" w:after="120"/>
      </w:pPr>
      <w:r>
        <w:rPr>
          <w:rFonts w:ascii="Times New Roman" w:hAnsi="Times New Roman" w:eastAsia="Times New Roman"/>
          <w:b/>
          <w:color w:val="000000"/>
          <w:sz w:val="26"/>
        </w:rPr>
        <w:t>Future work</w:t>
      </w:r>
    </w:p>
    <w:p>
      <w:pPr>
        <w:spacing w:line="360" w:lineRule="auto" w:after="120"/>
      </w:pPr>
      <w:r>
        <w:rPr>
          <w:rFonts w:ascii="Times New Roman" w:hAnsi="Times New Roman" w:eastAsia="Times New Roman"/>
          <w:b w:val="0"/>
          <w:color w:val="000000"/>
          <w:sz w:val="24"/>
        </w:rPr>
        <w:t>Future studies should test the system with regulatory-affairs users and measure whether it reduces time to locate evidence without increasing overconfidence. A stronger validation study should include independent expert review of selected answers, blinded error classification, prospective question authoring by users not involved in system development, and comparison with standard document search. The corpus should also be expanded and versioned so that users can see whether a question requires current information outside the indexed corpus rather than static document retrieval.</w:t>
      </w:r>
    </w:p>
    <w:p>
      <w:pPr>
        <w:pStyle w:val="Heading1"/>
        <w:spacing w:line="276" w:lineRule="auto" w:after="120"/>
      </w:pPr>
      <w:r>
        <w:rPr>
          <w:rFonts w:ascii="Times New Roman" w:hAnsi="Times New Roman" w:eastAsia="Times New Roman"/>
          <w:b/>
          <w:color w:val="000000"/>
          <w:sz w:val="26"/>
        </w:rPr>
        <w:t>Conclusion</w:t>
      </w:r>
    </w:p>
    <w:p>
      <w:pPr>
        <w:spacing w:line="360" w:lineRule="auto" w:after="120"/>
      </w:pPr>
      <w:r>
        <w:rPr>
          <w:rFonts w:ascii="Times New Roman" w:hAnsi="Times New Roman" w:eastAsia="Times New Roman"/>
          <w:b w:val="0"/>
          <w:color w:val="000000"/>
          <w:sz w:val="24"/>
        </w:rP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spacing w:line="276" w:lineRule="auto" w:after="120"/>
      </w:pPr>
      <w:r>
        <w:rPr>
          <w:rFonts w:ascii="Times New Roman" w:hAnsi="Times New Roman" w:eastAsia="Times New Roman"/>
          <w:b/>
          <w:color w:val="000000"/>
          <w:sz w:val="26"/>
        </w:rPr>
        <w:t>Funding</w:t>
      </w:r>
    </w:p>
    <w:p>
      <w:pPr>
        <w:spacing w:line="360" w:lineRule="auto" w:after="120"/>
      </w:pPr>
      <w:r>
        <w:rPr>
          <w:rFonts w:ascii="Times New Roman" w:hAnsi="Times New Roman" w:eastAsia="Times New Roman"/>
          <w:b w:val="0"/>
          <w:color w:val="000000"/>
          <w:sz w:val="24"/>
        </w:rPr>
        <w:t>The authors received no specific funding for this work.</w:t>
      </w:r>
    </w:p>
    <w:p>
      <w:pPr>
        <w:pStyle w:val="Heading1"/>
        <w:spacing w:line="276" w:lineRule="auto" w:after="120"/>
      </w:pPr>
      <w:r>
        <w:rPr>
          <w:rFonts w:ascii="Times New Roman" w:hAnsi="Times New Roman" w:eastAsia="Times New Roman"/>
          <w:b/>
          <w:color w:val="000000"/>
          <w:sz w:val="26"/>
        </w:rPr>
        <w:t>Conflict of Interest</w:t>
      </w:r>
    </w:p>
    <w:p>
      <w:pPr>
        <w:spacing w:line="360" w:lineRule="auto" w:after="120"/>
      </w:pPr>
      <w:r>
        <w:rPr>
          <w:rFonts w:ascii="Times New Roman" w:hAnsi="Times New Roman" w:eastAsia="Times New Roman"/>
          <w:b w:val="0"/>
          <w:color w:val="000000"/>
          <w:sz w:val="24"/>
        </w:rPr>
        <w:t>The authors declare no competing financial interests.</w:t>
      </w:r>
    </w:p>
    <w:p>
      <w:pPr>
        <w:pStyle w:val="Heading1"/>
        <w:spacing w:line="276" w:lineRule="auto" w:after="120"/>
      </w:pPr>
      <w:r>
        <w:rPr>
          <w:rFonts w:ascii="Times New Roman" w:hAnsi="Times New Roman" w:eastAsia="Times New Roman"/>
          <w:b/>
          <w:color w:val="000000"/>
          <w:sz w:val="26"/>
        </w:rPr>
        <w:t>Author Contributions</w:t>
      </w:r>
    </w:p>
    <w:p>
      <w:pPr>
        <w:spacing w:line="360" w:lineRule="auto" w:after="120"/>
      </w:pPr>
      <w:r>
        <w:rPr>
          <w:rFonts w:ascii="Times New Roman" w:hAnsi="Times New Roman" w:eastAsia="Times New Roman"/>
          <w:b w:val="0"/>
          <w:color w:val="000000"/>
          <w:sz w:val="24"/>
        </w:rPr>
        <w:t>C.V.M.-P. conceived and designed the study, developed the software pipeline, prepared the corpus, constructed the benchmark, performed the analyses, interpreted the results, and drafted the manuscript. H.L.R.J. contributed to the regulatory and pharmaceutical framing, interpretation of results, and critical revision of the manuscript. Both authors approved the final manuscript and agree to be accountable for the work.</w:t>
      </w:r>
    </w:p>
    <w:p>
      <w:pPr>
        <w:pStyle w:val="Heading1"/>
        <w:spacing w:line="276" w:lineRule="auto" w:after="120"/>
      </w:pPr>
      <w:r>
        <w:rPr>
          <w:rFonts w:ascii="Times New Roman" w:hAnsi="Times New Roman" w:eastAsia="Times New Roman"/>
          <w:b/>
          <w:color w:val="000000"/>
          <w:sz w:val="26"/>
        </w:rPr>
        <w:t>Data Availability</w:t>
      </w:r>
    </w:p>
    <w:p>
      <w:pPr>
        <w:spacing w:line="360" w:lineRule="auto" w:after="120"/>
      </w:pPr>
      <w:r>
        <w:rPr>
          <w:rFonts w:ascii="Times New Roman" w:hAnsi="Times New Roman" w:eastAsia="Times New Roman"/>
          <w:b w:val="0"/>
          <w:color w:val="000000"/>
          <w:sz w:val="24"/>
        </w:rPr>
        <w:t>The code, benchmark manifests, generated outputs, prompts, and non-restricted derived artifacts are archived in a private project repository during manuscript preparation and will be made publicly available after manuscript acceptance. Files needed for peer review are included as supplementary materials. Official ANVISA source URLs, source-file checksums, and the cleaning script are provided in the source 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t>
      </w:r>
    </w:p>
    <w:p>
      <w:pPr>
        <w:pStyle w:val="Heading1"/>
        <w:spacing w:line="276" w:lineRule="auto" w:after="120"/>
      </w:pPr>
      <w:r>
        <w:rPr>
          <w:rFonts w:ascii="Times New Roman" w:hAnsi="Times New Roman" w:eastAsia="Times New Roman"/>
          <w:b/>
          <w:color w:val="000000"/>
          <w:sz w:val="26"/>
        </w:rPr>
        <w:t>Ethics Approval</w:t>
      </w:r>
    </w:p>
    <w:p>
      <w:pPr>
        <w:spacing w:line="360" w:lineRule="auto" w:after="120"/>
      </w:pPr>
      <w:r>
        <w:rPr>
          <w:rFonts w:ascii="Times New Roman" w:hAnsi="Times New Roman" w:eastAsia="Times New Roman"/>
          <w:b w:val="0"/>
          <w:color w:val="000000"/>
          <w:sz w:val="24"/>
        </w:rPr>
        <w:t>Ethics approval was not required because the study used public regulatory documents and generated benchmark questions. No human participants, patient data, animal data, or clinical trial data were used.</w:t>
      </w:r>
    </w:p>
    <w:p>
      <w:pPr>
        <w:pStyle w:val="Heading1"/>
        <w:spacing w:line="276" w:lineRule="auto" w:after="120"/>
      </w:pPr>
      <w:r>
        <w:rPr>
          <w:rFonts w:ascii="Times New Roman" w:hAnsi="Times New Roman" w:eastAsia="Times New Roman"/>
          <w:b/>
          <w:color w:val="000000"/>
          <w:sz w:val="26"/>
        </w:rPr>
        <w:t>Clinical Trial Registration</w:t>
      </w:r>
    </w:p>
    <w:p>
      <w:pPr>
        <w:spacing w:line="360" w:lineRule="auto" w:after="120"/>
      </w:pPr>
      <w:r>
        <w:rPr>
          <w:rFonts w:ascii="Times New Roman" w:hAnsi="Times New Roman" w:eastAsia="Times New Roman"/>
          <w:b w:val="0"/>
          <w:color w:val="000000"/>
          <w:sz w:val="24"/>
        </w:rPr>
        <w:t>Not applicable.</w:t>
      </w:r>
    </w:p>
    <w:p>
      <w:pPr>
        <w:pStyle w:val="Heading1"/>
        <w:spacing w:line="276" w:lineRule="auto" w:after="120"/>
      </w:pPr>
      <w:r>
        <w:rPr>
          <w:rFonts w:ascii="Times New Roman" w:hAnsi="Times New Roman" w:eastAsia="Times New Roman"/>
          <w:b/>
          <w:color w:val="000000"/>
          <w:sz w:val="26"/>
        </w:rPr>
        <w:t>References</w:t>
      </w:r>
    </w:p>
    <w:p>
      <w:pPr>
        <w:spacing w:line="360" w:lineRule="auto" w:after="120"/>
      </w:pPr>
      <w:r>
        <w:rPr>
          <w:rFonts w:ascii="Times New Roman" w:hAnsi="Times New Roman" w:eastAsia="Times New Roman"/>
          <w:b w:val="0"/>
          <w:color w:val="000000"/>
          <w:sz w:val="24"/>
        </w:rPr>
        <w:t>1. Lewis P, Perez E, Piktus A, et al. Retrieval-Augmented Generation for Knowledge-Intensive NLP Tasks. Advances in Neural Information Processing Systems. 2020;33:9459-9474.</w:t>
      </w:r>
    </w:p>
    <w:p>
      <w:pPr>
        <w:spacing w:line="360" w:lineRule="auto" w:after="120"/>
      </w:pPr>
      <w:r>
        <w:rPr>
          <w:rFonts w:ascii="Times New Roman" w:hAnsi="Times New Roman" w:eastAsia="Times New Roman"/>
          <w:b w:val="0"/>
          <w:color w:val="000000"/>
          <w:sz w:val="24"/>
        </w:rPr>
        <w:t>2. Proestel S, Jeng LJB, Smith C, et al. Semantic Search of FDA Guidance Documents Using Generative AI. Ther Innov Regul Sci. 2025;59:1148-1159. doi:10.1007/s43441-025-00798-8.</w:t>
      </w:r>
    </w:p>
    <w:p>
      <w:pPr>
        <w:spacing w:line="360" w:lineRule="auto" w:after="120"/>
      </w:pPr>
      <w:r>
        <w:rPr>
          <w:rFonts w:ascii="Times New Roman" w:hAnsi="Times New Roman" w:eastAsia="Times New Roman"/>
          <w:b w:val="0"/>
          <w:color w:val="000000"/>
          <w:sz w:val="24"/>
        </w:rPr>
        <w:t>3. Agencia Nacional de Vigilancia Sanitaria. Instrucao Normativa - IN No. 338, de 29 de novembro de 2024. Establishes the list of equivalent foreign regulatory authorities and criteria for optimized review under RDC 945/2024. AnvisaLegis. Accessed 19 July 2026.</w:t>
      </w:r>
    </w:p>
    <w:p>
      <w:pPr>
        <w:spacing w:line="360" w:lineRule="auto" w:after="120"/>
      </w:pPr>
      <w:r>
        <w:rPr>
          <w:rFonts w:ascii="Times New Roman" w:hAnsi="Times New Roman" w:eastAsia="Times New Roman"/>
          <w:b w:val="0"/>
          <w:color w:val="000000"/>
          <w:sz w:val="24"/>
        </w:rPr>
        <w:t>4. Agencia Nacional de Vigilancia Sanitaria. Resolucao de Diretoria Colegiada - RDC No. 406, de 22 de julho de 2020. Good pharmacovigilance practices for holders of human medicine registrations. AnvisaLegis. Accessed 19 July 2026.</w:t>
      </w:r>
    </w:p>
    <w:p>
      <w:pPr>
        <w:spacing w:line="360" w:lineRule="auto" w:after="120"/>
      </w:pPr>
      <w:r>
        <w:rPr>
          <w:rFonts w:ascii="Times New Roman" w:hAnsi="Times New Roman" w:eastAsia="Times New Roman"/>
          <w:b w:val="0"/>
          <w:color w:val="000000"/>
          <w:sz w:val="24"/>
        </w:rPr>
        <w:t>5. Agencia Nacional de Vigilancia Sanitaria. Resolucao - RDC No. 55, de 16 de dezembro de 2010. Registration of new biological products and biological products. AnvisaLegis. Accessed 19 July 2026.</w:t>
      </w:r>
    </w:p>
    <w:p>
      <w:pPr>
        <w:spacing w:line="360" w:lineRule="auto" w:after="120"/>
      </w:pPr>
      <w:r>
        <w:rPr>
          <w:rFonts w:ascii="Times New Roman" w:hAnsi="Times New Roman" w:eastAsia="Times New Roman"/>
          <w:b w:val="0"/>
          <w:color w:val="000000"/>
          <w:sz w:val="24"/>
        </w:rPr>
        <w:t>6. Agencia Nacional de Vigilancia Sanitaria. Resolucao - RDC No. 751, de 15 de setembro de 2022. Medical-device risk classification, notification and registration regimes, labelling, and instructions for use. AnvisaLegis. Accessed 19 July 2026.</w:t>
      </w:r>
    </w:p>
    <w:p>
      <w:pPr>
        <w:spacing w:line="360" w:lineRule="auto" w:after="120"/>
      </w:pPr>
      <w:r>
        <w:rPr>
          <w:rFonts w:ascii="Times New Roman" w:hAnsi="Times New Roman" w:eastAsia="Times New Roman"/>
          <w:b w:val="0"/>
          <w:color w:val="000000"/>
          <w:sz w:val="24"/>
        </w:rPr>
        <w:t>7. Agencia Nacional de Vigilancia Sanitaria. Resolucao da Diretoria Colegiada Anvisa No. 945, de 29 de novembro de 2024. Guidelines and procedures for clinical trials for later medicine registration. AnvisaLegis. Accessed 19 July 2026.</w:t>
      </w:r>
    </w:p>
    <w:p>
      <w:pPr>
        <w:spacing w:line="360" w:lineRule="auto" w:after="120"/>
      </w:pPr>
      <w:r>
        <w:rPr>
          <w:rFonts w:ascii="Times New Roman" w:hAnsi="Times New Roman" w:eastAsia="Times New Roman"/>
          <w:b w:val="0"/>
          <w:color w:val="000000"/>
          <w:sz w:val="24"/>
        </w:rPr>
        <w:t>8. Agencia Nacional de Vigilancia Sanitaria. Resolucao RDC No. 9, de 20 de fevereiro de 2015. Regulation for clinical trials with medicines in Brazil. AnvisaLegis. Accessed 19 July 2026.</w:t>
      </w:r>
    </w:p>
    <w:p>
      <w:pPr>
        <w:spacing w:line="360" w:lineRule="auto" w:after="120"/>
      </w:pPr>
      <w:r>
        <w:rPr>
          <w:rFonts w:ascii="Times New Roman" w:hAnsi="Times New Roman" w:eastAsia="Times New Roman"/>
          <w:b w:val="0"/>
          <w:color w:val="000000"/>
          <w:sz w:val="24"/>
        </w:rPr>
        <w:t>Official AnvisaLegis URLs and SHA-256 checksums for references 3-8 are provided in the supplementary source reproducibility file.</w:t>
      </w:r>
    </w:p>
    <w:p>
      <w:pPr>
        <w:spacing w:line="360" w:lineRule="auto" w:after="120"/>
      </w:pPr>
      <w:r>
        <w:rPr>
          <w:rFonts w:ascii="Times New Roman" w:hAnsi="Times New Roman" w:eastAsia="Times New Roman"/>
          <w:b w:val="0"/>
          <w:color w:val="000000"/>
          <w:sz w:val="24"/>
        </w:rPr>
        <w:t>Figure Legends</w:t>
      </w:r>
    </w:p>
    <w:p>
      <w:pPr>
        <w:spacing w:line="360" w:lineRule="auto" w:after="120"/>
      </w:pPr>
      <w:r>
        <w:rPr>
          <w:rFonts w:ascii="Times New Roman" w:hAnsi="Times New Roman" w:eastAsia="Times New Roman"/>
          <w:b w:val="0"/>
          <w:color w:val="000000"/>
          <w:sz w:val="24"/>
        </w:rPr>
        <w:t>Figure 1. Closed-corpus RAG workflow. The workflow shows the path from selected ANVISA source documents to cleaned text, article-aware chunks with metadata, hybrid retrieval, reranking, answer generation, and evaluation. Source artifacts recorded six indexed regulatory documents, 382 detected articles, 481 article-level chunks, and a 200-question internal benchmark.</w:t>
      </w:r>
    </w:p>
    <w:p>
      <w:pPr>
        <w:spacing w:line="360" w:lineRule="auto" w:after="120"/>
      </w:pPr>
      <w:r>
        <w:rPr>
          <w:rFonts w:ascii="Times New Roman" w:hAnsi="Times New Roman" w:eastAsia="Times New Roman"/>
          <w:b w:val="0"/>
          <w:color w:val="000000"/>
          <w:sz w:val="24"/>
        </w:rPr>
        <w:t>Figure 2. Benchmark design and source coverage. The benchmark contained 70 Portuguese answerable questions, 70 English answerable questions, 20 multi-article or exception questions, and 40 unanswerable or adversarial questions. Gold source evidence covered all six indexed ANVISA documents and 78 unique article citations.</w:t>
      </w:r>
    </w:p>
    <w:p>
      <w:pPr>
        <w:spacing w:line="360" w:lineRule="auto" w:after="120"/>
      </w:pPr>
      <w:r>
        <w:rPr>
          <w:rFonts w:ascii="Times New Roman" w:hAnsi="Times New Roman" w:eastAsia="Times New Roman"/>
          <w:b w:val="0"/>
          <w:color w:val="000000"/>
          <w:sz w:val="24"/>
        </w:rPr>
        <w:t>Figure 3A. Development-stage answer-quality metrics. Mean AI-judge scores are shown for faithfulness, citation correctness, completeness, and refusal correctness across the main evaluation stages. The stages used different evaluation sets; the plot summarizes development history and should not be interpreted as a paired repeated-measure comparison. Underlying AI-judge rows, rationales, and stage-level recommendations are provided in Supplementary Data S2.</w:t>
      </w:r>
    </w:p>
    <w:p>
      <w:pPr>
        <w:spacing w:line="360" w:lineRule="auto" w:after="120"/>
      </w:pPr>
      <w:r>
        <w:rPr>
          <w:rFonts w:ascii="Times New Roman" w:hAnsi="Times New Roman" w:eastAsia="Times New Roman"/>
          <w:b w:val="0"/>
          <w:color w:val="000000"/>
          <w:sz w:val="24"/>
        </w:rPr>
        <w:t>Figure 3B. Targeted weak-point repairs. The left panel shows English answer completeness before and after the English-completeness repair set. The middle panel shows refusal correctness in the first AI-authored prospective stress test and in the later refusal-focused AI-authored test after refusal-prompt calibration. The right panel shows answerable-question completeness in the AI-authored prospective stress test and in the answerable controls of the refusal-focused test. Because the panels compare different evaluation sets, the figure documents observed development decisions rather than paired statistical improvement. Underlying AI-judge rows, rationales, and stage-level recommendations are provided in Supplementary Data S2.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60" w:lineRule="auto" w:after="120"/>
      <w:ind w:left="720"/>
      <w:contextualSpacing/>
    </w:pPr>
    <w:rPr>
      <w:rFonts w:ascii="Times New Roman" w:hAnsi="Times New Roman"/>
      <w:color w:val="000000"/>
      <w:sz w:val="24"/>
    </w:rPr>
  </w:style>
  <w:style w:type="paragraph" w:styleId="BodyText">
    <w:name w:val="Body Text"/>
    <w:basedOn w:val="Normal"/>
    <w:link w:val="BodyTextChar"/>
    <w:uiPriority w:val="99"/>
    <w:unhideWhenUsed/>
    <w:rsid w:val="00AA1D8D"/>
    <w:pPr>
      <w:spacing w:after="120" w:line="360" w:lineRule="auto"/>
    </w:pPr>
    <w:rPr>
      <w:rFonts w:ascii="Times New Roman" w:hAnsi="Times New Roman"/>
      <w:color w:val="000000"/>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