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64" w:lineRule="auto" w:after="120"/>
        <w:jc w:val="center"/>
      </w:pPr>
      <w:r>
        <w:rPr>
          <w:rFonts w:ascii="Times New Roman" w:hAnsi="Times New Roman" w:eastAsia="Times New Roman"/>
          <w:b/>
          <w:i w:val="0"/>
          <w:color w:val="000000"/>
          <w:sz w:val="28"/>
        </w:rPr>
        <w:t>Bilingual Retrieval-Augmented Access to ANVISA Regulatory Documents: A Technical Evaluation Using Drug-Development and Health-Product Questions</w:t>
      </w:r>
    </w:p>
    <w:p>
      <w:pPr>
        <w:spacing w:line="324" w:lineRule="auto" w:after="120"/>
      </w:pPr>
      <w:r>
        <w:rPr>
          <w:rFonts w:ascii="Times New Roman" w:hAnsi="Times New Roman" w:eastAsia="Times New Roman"/>
          <w:b w:val="0"/>
          <w:i w:val="0"/>
          <w:color w:val="000000"/>
          <w:sz w:val="24"/>
        </w:rPr>
        <w:t>Authors: Carlos Victor Montefusco-Pereira1*, Howard Lopes Ribeiro Junior2</w:t>
      </w:r>
    </w:p>
    <w:p>
      <w:pPr>
        <w:spacing w:line="324" w:lineRule="auto" w:after="120"/>
      </w:pPr>
      <w:r>
        <w:rPr>
          <w:rFonts w:ascii="Times New Roman" w:hAnsi="Times New Roman" w:eastAsia="Times New Roman"/>
          <w:b w:val="0"/>
          <w:i w:val="0"/>
          <w:color w:val="000000"/>
          <w:sz w:val="24"/>
        </w:rPr>
        <w:t>1 Independent Researcher in Data Science and Artificial Intelligence in Industrial Pharmaceutics, Berlin, Germany</w:t>
      </w:r>
    </w:p>
    <w:p>
      <w:pPr>
        <w:spacing w:line="324" w:lineRule="auto" w:after="120"/>
      </w:pPr>
      <w:r>
        <w:rPr>
          <w:rFonts w:ascii="Times New Roman" w:hAnsi="Times New Roman" w:eastAsia="Times New Roman"/>
          <w:b w:val="0"/>
          <w:i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line="324" w:lineRule="auto" w:after="120"/>
      </w:pPr>
      <w:r>
        <w:rPr>
          <w:rFonts w:ascii="Times New Roman" w:hAnsi="Times New Roman" w:eastAsia="Times New Roman"/>
          <w:b w:val="0"/>
          <w:i w:val="0"/>
          <w:color w:val="000000"/>
          <w:sz w:val="24"/>
        </w:rPr>
        <w:t>ORCID: Carlos Victor Montefusco-Pereira, 0000-0003-4167-4653; Howard Lopes Ribeiro Junior, 0000-0003-2431-4779</w:t>
      </w:r>
    </w:p>
    <w:p>
      <w:pPr>
        <w:spacing w:line="324" w:lineRule="auto" w:after="120"/>
      </w:pPr>
      <w:r>
        <w:rPr>
          <w:rFonts w:ascii="Times New Roman" w:hAnsi="Times New Roman" w:eastAsia="Times New Roman"/>
          <w:b w:val="0"/>
          <w:i w:val="0"/>
          <w:color w:val="000000"/>
          <w:sz w:val="24"/>
        </w:rPr>
        <w:t>Corresponding author: Carlos Victor Montefusco-Pereira. Friedrich-Wilhelm 28, 12103 Berlin, Germany. Email: cmontefusco@gmail.com. Phone: +49 15168108538.</w:t>
      </w:r>
    </w:p>
    <w:p>
      <w:pPr>
        <w:spacing w:line="324" w:lineRule="auto" w:after="120"/>
      </w:pPr>
      <w:r>
        <w:rPr>
          <w:rFonts w:ascii="Times New Roman" w:hAnsi="Times New Roman" w:eastAsia="Times New Roman"/>
          <w:b w:val="0"/>
          <w:i w:val="0"/>
          <w:color w:val="000000"/>
          <w:sz w:val="24"/>
        </w:rPr>
        <w:t>Keywords: regulatory science; ANVISA; retrieval-augmented generation; clinical trials; pharmacovigilance; biological products and medical devices</w:t>
      </w:r>
    </w:p>
    <w:p>
      <w:pPr>
        <w:spacing w:line="324" w:lineRule="auto" w:after="120"/>
      </w:pPr>
      <w:r>
        <w:rPr>
          <w:rFonts w:ascii="Times New Roman" w:hAnsi="Times New Roman" w:eastAsia="Times New Roman"/>
          <w:b w:val="0"/>
          <w:i w:val="0"/>
          <w:color w:val="000000"/>
          <w:sz w:val="24"/>
        </w:rPr>
        <w:t>Abbreviations: ANVISA, Agencia Nacional de Vigilancia Sanitaria; AREE, equivalent foreign regulatory authority; DDCM, Clinical Drug Development Dossier; DSUR, Development Safety Update Report; ICH, International Council for Harmonisation; RAG, retrieval-augmented generation; SUSAR, suspected unexpected serious adverse reaction.</w:t>
      </w:r>
    </w:p>
    <w:p>
      <w:pPr>
        <w:pStyle w:val="Heading1"/>
        <w:spacing w:line="264" w:lineRule="auto" w:after="120"/>
      </w:pPr>
      <w:r>
        <w:rPr>
          <w:rFonts w:ascii="Times New Roman" w:hAnsi="Times New Roman" w:eastAsia="Times New Roman"/>
          <w:b/>
          <w:i w:val="0"/>
          <w:color w:val="000000"/>
          <w:sz w:val="28"/>
        </w:rPr>
        <w:t>Abstract</w:t>
      </w:r>
    </w:p>
    <w:p>
      <w:pPr>
        <w:spacing w:line="324" w:lineRule="auto" w:after="120"/>
      </w:pPr>
      <w:r>
        <w:rPr>
          <w:rFonts w:ascii="Times New Roman" w:hAnsi="Times New Roman" w:eastAsia="Times New Roman"/>
          <w:b w:val="0"/>
          <w:i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pPr>
        <w:spacing w:line="324" w:lineRule="auto" w:after="120"/>
      </w:pPr>
      <w:r>
        <w:rPr>
          <w:rFonts w:ascii="Times New Roman" w:hAnsi="Times New Roman" w:eastAsia="Times New Roman"/>
          <w:b w:val="0"/>
          <w:i w:val="0"/>
          <w:color w:val="000000"/>
          <w:sz w:val="24"/>
        </w:rPr>
        <w:t>Objective. To evaluate whether a bilingual retrieval-augmented generation prototype could help locate and summarize selected ANVISA regulatory requirements relevant to drug development and health-product regulation.</w:t>
      </w:r>
    </w:p>
    <w:p>
      <w:pPr>
        <w:spacing w:line="324" w:lineRule="auto" w:after="120"/>
      </w:pPr>
      <w:r>
        <w:rPr>
          <w:rFonts w:ascii="Times New Roman" w:hAnsi="Times New Roman" w:eastAsia="Times New Roman"/>
          <w:b w:val="0"/>
          <w:i w:val="0"/>
          <w:color w:val="000000"/>
          <w:sz w:val="24"/>
        </w:rPr>
        <w:t>Methods. Six ANVISA regulatory documents were cleaned, indexed by regulatory article, and used as a closed document collection. The test set included Portuguese and English questions about clinical trials, pharmacovigilance, biological products, medical devices, reliance pathways, exceptions, and unanswerable operational questions. Answers were required to cite the source document and article or refuse when the indexed documents did not contain the requested fact. Detailed retrieval settings were documented separately.</w:t>
      </w:r>
    </w:p>
    <w:p>
      <w:pPr>
        <w:spacing w:line="324" w:lineRule="auto" w:after="120"/>
      </w:pPr>
      <w:r>
        <w:rPr>
          <w:rFonts w:ascii="Times New Roman" w:hAnsi="Times New Roman" w:eastAsia="Times New Roman"/>
          <w:b w:val="0"/>
          <w:i w:val="0"/>
          <w:color w:val="000000"/>
          <w:sz w:val="24"/>
        </w:rPr>
        <w:t>Results. The system answered many direct regulatory questions with the correct source article, including questions about SUSAR handling, DSUR submission, valid pharmacovigilance notifications, biological-product registration exceptions, and medical-device instructions for use. Error analysis was more informative than aggregate scores. Some answers were correct but incomplete, for example omitting an active-search obligation, an ICH E2F condition, or a 30-business-day response deadline. The first AI-authored prospective stress test showed that refusal behavior was the main remaining weakness. After a separate refusal-calibration step, refusal correctness improved in a focused AI-authored prospective test.</w:t>
      </w:r>
    </w:p>
    <w:p>
      <w:pPr>
        <w:spacing w:line="324" w:lineRule="auto" w:after="120"/>
      </w:pPr>
      <w:r>
        <w:rPr>
          <w:rFonts w:ascii="Times New Roman" w:hAnsi="Times New Roman" w:eastAsia="Times New Roman"/>
          <w:b w:val="0"/>
          <w:i w:val="0"/>
          <w:color w:val="000000"/>
          <w:sz w:val="24"/>
        </w:rPr>
        <w:t>Conclusion. A bilingual RAG system may support regulatory information access when answers are tied to verifiable articles. For regulatory use, evaluation should report examples, omissions, false refusals, and refusal failures, not only average retrieval scores.</w:t>
      </w:r>
    </w:p>
    <w:p>
      <w:pPr>
        <w:pStyle w:val="Heading1"/>
        <w:spacing w:line="264" w:lineRule="auto" w:after="120"/>
      </w:pPr>
      <w:r>
        <w:rPr>
          <w:rFonts w:ascii="Times New Roman" w:hAnsi="Times New Roman" w:eastAsia="Times New Roman"/>
          <w:b/>
          <w:i w:val="0"/>
          <w:color w:val="000000"/>
          <w:sz w:val="28"/>
        </w:rPr>
        <w:t>Introduction</w:t>
      </w:r>
    </w:p>
    <w:p>
      <w:pPr>
        <w:spacing w:line="324" w:lineRule="auto" w:after="120"/>
      </w:pPr>
      <w:r>
        <w:rPr>
          <w:rFonts w:ascii="Times New Roman" w:hAnsi="Times New Roman" w:eastAsia="Times New Roman"/>
          <w:b w:val="0"/>
          <w:i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are practical. They affect trial operations, safety reporting, dossier planning, pharmacovigilance systems, and product labelling.</w:t>
      </w:r>
    </w:p>
    <w:p>
      <w:pPr>
        <w:spacing w:line="324" w:lineRule="auto" w:after="120"/>
      </w:pPr>
      <w:r>
        <w:rPr>
          <w:rFonts w:ascii="Times New Roman" w:hAnsi="Times New Roman" w:eastAsia="Times New Roman"/>
          <w:b w:val="0"/>
          <w:i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line="324" w:lineRule="auto" w:after="120"/>
      </w:pPr>
      <w:r>
        <w:rPr>
          <w:rFonts w:ascii="Times New Roman" w:hAnsi="Times New Roman" w:eastAsia="Times New Roman"/>
          <w:b w:val="0"/>
          <w:i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line="324" w:lineRule="auto" w:after="120"/>
      </w:pPr>
      <w:r>
        <w:rPr>
          <w:rFonts w:ascii="Times New Roman" w:hAnsi="Times New Roman" w:eastAsia="Times New Roman"/>
          <w:b w:val="0"/>
          <w:i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line="324" w:lineRule="auto" w:after="120"/>
      </w:pPr>
      <w:r>
        <w:rPr>
          <w:rFonts w:ascii="Times New Roman" w:hAnsi="Times New Roman" w:eastAsia="Times New Roman"/>
          <w:b w:val="0"/>
          <w:i w:val="0"/>
          <w:color w:val="000000"/>
          <w:sz w:val="24"/>
        </w:rPr>
        <w:t>The manuscript focuses on what the system did with regulatory questions. Detailed engineering settings are better suited to supplementary material. This distinction is important. For regulatory-science readers, the main issue is not whether the system used one retrieval model or another. The main issue is whether the system handled real regulatory information needs in a way that could be checked.</w:t>
      </w:r>
    </w:p>
    <w:p>
      <w:pPr>
        <w:pStyle w:val="Heading1"/>
        <w:spacing w:line="264" w:lineRule="auto" w:after="120"/>
      </w:pPr>
      <w:r>
        <w:rPr>
          <w:rFonts w:ascii="Times New Roman" w:hAnsi="Times New Roman" w:eastAsia="Times New Roman"/>
          <w:b/>
          <w:i w:val="0"/>
          <w:color w:val="000000"/>
          <w:sz w:val="28"/>
        </w:rPr>
        <w:t>Materials and Methods</w:t>
      </w:r>
    </w:p>
    <w:p>
      <w:pPr>
        <w:pStyle w:val="Heading2"/>
        <w:spacing w:line="264" w:lineRule="auto" w:after="120"/>
      </w:pPr>
      <w:r>
        <w:rPr>
          <w:rFonts w:ascii="Times New Roman" w:hAnsi="Times New Roman" w:eastAsia="Times New Roman"/>
          <w:b/>
          <w:i w:val="0"/>
          <w:color w:val="000000"/>
          <w:sz w:val="26"/>
        </w:rPr>
        <w:t>Study design</w:t>
      </w:r>
    </w:p>
    <w:p>
      <w:pPr>
        <w:spacing w:line="324" w:lineRule="auto" w:after="120"/>
      </w:pPr>
      <w:r>
        <w:rPr>
          <w:rFonts w:ascii="Times New Roman" w:hAnsi="Times New Roman" w:eastAsia="Times New Roman"/>
          <w:b w:val="0"/>
          <w:i w:val="0"/>
          <w:color w:val="000000"/>
          <w:sz w:val="24"/>
        </w:rPr>
        <w:t>This was a technical evaluation of a closed-corpus bilingual RAG prototype. The corpus was closed because the system was not allowed to search current web pages, submission portals, fee schedules, private company information, or unpublished documents. This design made the evidence boundary explicit. If the answer was not present in the indexed documents, the correct behavior was refusal.</w:t>
      </w:r>
    </w:p>
    <w:p>
      <w:pPr>
        <w:spacing w:line="324" w:lineRule="auto" w:after="120"/>
      </w:pPr>
      <w:r>
        <w:rPr>
          <w:rFonts w:ascii="Times New Roman" w:hAnsi="Times New Roman" w:eastAsia="Times New Roman"/>
          <w:b w:val="0"/>
          <w:i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evaluation emphasized held-out and AI-authored prospective test sets, including an AI-authored prospective stress test and a later refusal-focused test.</w:t>
      </w:r>
    </w:p>
    <w:p>
      <w:pPr>
        <w:spacing w:line="324" w:lineRule="auto" w:after="120"/>
      </w:pPr>
      <w:r>
        <w:rPr>
          <w:rFonts w:ascii="Times New Roman" w:hAnsi="Times New Roman" w:eastAsia="Times New Roman"/>
          <w:b w:val="0"/>
          <w:i w:val="0"/>
          <w:color w:val="000000"/>
          <w:sz w:val="24"/>
        </w:rPr>
        <w:t>The roles of the datasets were separated to avoid presenting development gains as independent validation. Development runs were used to identify and repair failures. Held-out internal runs were used to test whether the repaired system passed the curated benchmark. The first AI-authored prospective stress test was used to challenge the system after high internal scores. When that test showed refusal weakness, refusal calibration was changed using a separate development set, and a second refusal-focused AI-authored prospective test was used to evaluate that repair. The first AI-authored prospective stress test was therefore treated as diagnostic prospective evidence, not as a dataset to tune from.</w:t>
      </w:r>
    </w:p>
    <w:p>
      <w:pPr>
        <w:pStyle w:val="Heading2"/>
        <w:spacing w:line="264" w:lineRule="auto" w:after="120"/>
      </w:pPr>
      <w:r>
        <w:rPr>
          <w:rFonts w:ascii="Times New Roman" w:hAnsi="Times New Roman" w:eastAsia="Times New Roman"/>
          <w:b/>
          <w:i w:val="0"/>
          <w:color w:val="000000"/>
          <w:sz w:val="26"/>
        </w:rPr>
        <w:t>Regulatory corpus</w:t>
      </w:r>
    </w:p>
    <w:p>
      <w:pPr>
        <w:spacing w:line="324" w:lineRule="auto" w:after="120"/>
      </w:pPr>
      <w:r>
        <w:rPr>
          <w:rFonts w:ascii="Times New Roman" w:hAnsi="Times New Roman" w:eastAsia="Times New Roman"/>
          <w:b w:val="0"/>
          <w:i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w:t>
      </w:r>
    </w:p>
    <w:p>
      <w:pPr>
        <w:spacing w:line="324" w:lineRule="auto" w:after="120"/>
      </w:pPr>
      <w:r>
        <w:rPr>
          <w:rFonts w:ascii="Times New Roman" w:hAnsi="Times New Roman" w:eastAsia="Times New Roman"/>
          <w:b w:val="0"/>
          <w:i w:val="0"/>
          <w:color w:val="000000"/>
          <w:sz w:val="24"/>
        </w:rPr>
        <w:t>Table 1. ANVISA corpus and regulatory use cases.</w:t>
      </w:r>
    </w:p>
    <w:p>
      <w:pPr>
        <w:spacing w:line="324" w:lineRule="auto" w:after="120"/>
      </w:pPr>
      <w:r>
        <w:rPr>
          <w:rFonts w:ascii="Times New Roman" w:hAnsi="Times New Roman" w:eastAsia="Times New Roman"/>
          <w:b w:val="0"/>
          <w:i w:val="0"/>
          <w:color w:val="000000"/>
          <w:sz w:val="24"/>
        </w:rPr>
        <w:t>| Regulation | Regulatory area | Example use case |</w:t>
      </w:r>
    </w:p>
    <w:p>
      <w:pPr>
        <w:spacing w:line="324" w:lineRule="auto" w:after="120"/>
      </w:pPr>
      <w:r>
        <w:rPr>
          <w:rFonts w:ascii="Times New Roman" w:hAnsi="Times New Roman" w:eastAsia="Times New Roman"/>
          <w:b w:val="0"/>
          <w:i w:val="0"/>
          <w:color w:val="000000"/>
          <w:sz w:val="24"/>
        </w:rPr>
        <w:t>|---|---|---|</w:t>
      </w:r>
    </w:p>
    <w:p>
      <w:pPr>
        <w:spacing w:line="324" w:lineRule="auto" w:after="120"/>
      </w:pPr>
      <w:r>
        <w:rPr>
          <w:rFonts w:ascii="Times New Roman" w:hAnsi="Times New Roman" w:eastAsia="Times New Roman"/>
          <w:b w:val="0"/>
          <w:i w:val="0"/>
          <w:color w:val="000000"/>
          <w:sz w:val="24"/>
        </w:rPr>
        <w:t>| RDC 945/2024 and RDC 9/2015 | Clinical trials | DDCM procedures, DSUR timing, SUSAR handling, and trial-safety conduct. |</w:t>
      </w:r>
    </w:p>
    <w:p>
      <w:pPr>
        <w:spacing w:line="324" w:lineRule="auto" w:after="120"/>
      </w:pPr>
      <w:r>
        <w:rPr>
          <w:rFonts w:ascii="Times New Roman" w:hAnsi="Times New Roman" w:eastAsia="Times New Roman"/>
          <w:b w:val="0"/>
          <w:i w:val="0"/>
          <w:color w:val="000000"/>
          <w:sz w:val="24"/>
        </w:rPr>
        <w:t>| RDC 406/2020 | Pharmacovigilance | Minimum notification elements and follow-up when information is incomplete. |</w:t>
      </w:r>
    </w:p>
    <w:p>
      <w:pPr>
        <w:spacing w:line="324" w:lineRule="auto" w:after="120"/>
      </w:pPr>
      <w:r>
        <w:rPr>
          <w:rFonts w:ascii="Times New Roman" w:hAnsi="Times New Roman" w:eastAsia="Times New Roman"/>
          <w:b w:val="0"/>
          <w:i w:val="0"/>
          <w:color w:val="000000"/>
          <w:sz w:val="24"/>
        </w:rPr>
        <w:t>| RDC 55/2010 | Biological products | Registration rules and exceptions for foreign-manufactured biological products. |</w:t>
      </w:r>
    </w:p>
    <w:p>
      <w:pPr>
        <w:spacing w:line="324" w:lineRule="auto" w:after="120"/>
      </w:pPr>
      <w:r>
        <w:rPr>
          <w:rFonts w:ascii="Times New Roman" w:hAnsi="Times New Roman" w:eastAsia="Times New Roman"/>
          <w:b w:val="0"/>
          <w:i w:val="0"/>
          <w:color w:val="000000"/>
          <w:sz w:val="24"/>
        </w:rPr>
        <w:t>| RDC 751/2022 | Medical devices | Risk classification, labelling, and instructions for use. |</w:t>
      </w:r>
    </w:p>
    <w:p>
      <w:pPr>
        <w:spacing w:line="324" w:lineRule="auto" w:after="120"/>
      </w:pPr>
      <w:r>
        <w:rPr>
          <w:rFonts w:ascii="Times New Roman" w:hAnsi="Times New Roman" w:eastAsia="Times New Roman"/>
          <w:b w:val="0"/>
          <w:i w:val="0"/>
          <w:color w:val="000000"/>
          <w:sz w:val="24"/>
        </w:rPr>
        <w:t>| IN 338/2024 | Reliance and optimized review | Equivalent foreign regulatory authorities and reliance-related conditions. |</w:t>
      </w:r>
    </w:p>
    <w:p>
      <w:pPr>
        <w:spacing w:line="324" w:lineRule="auto" w:after="120"/>
      </w:pPr>
      <w:r>
        <w:rPr>
          <w:rFonts w:ascii="Times New Roman" w:hAnsi="Times New Roman" w:eastAsia="Times New Roman"/>
          <w:b w:val="0"/>
          <w:i w:val="0"/>
          <w:color w:val="000000"/>
          <w:sz w:val="24"/>
        </w:rPr>
        <w:t>Each source file was checked against its document identifier and topic before final indexing. Source verification identified one local-file metadata mismatch: the file name suggested stability studies, while the document content was RDC 406/2020 on pharmacovigilance. The final corpus table therefore used official regulation names and topics rather than local file names.</w:t>
      </w:r>
    </w:p>
    <w:p>
      <w:pPr>
        <w:spacing w:line="324" w:lineRule="auto" w:after="120"/>
      </w:pPr>
      <w:r>
        <w:rPr>
          <w:rFonts w:ascii="Times New Roman" w:hAnsi="Times New Roman" w:eastAsia="Times New Roman"/>
          <w:b w:val="0"/>
          <w:i w:val="0"/>
          <w:color w:val="000000"/>
          <w:sz w:val="24"/>
        </w:rPr>
        <w:t>System summary</w:t>
      </w:r>
    </w:p>
    <w:p>
      <w:pPr>
        <w:spacing w:line="324" w:lineRule="auto" w:after="120"/>
      </w:pPr>
      <w:r>
        <w:rPr>
          <w:rFonts w:ascii="Times New Roman" w:hAnsi="Times New Roman" w:eastAsia="Times New Roman"/>
          <w:b w:val="0"/>
          <w:i w:val="0"/>
          <w:color w:val="000000"/>
          <w:sz w:val="24"/>
        </w:rPr>
        <w:t>The system indexed the documents by article so that answers could cite a verifiable regulatory unit. It combined semantic retrieval with keyword retrieval, reranked candidate passages, and generated answers from the highest-ranked contexts. English questions were supported by Portuguese retrieval anchors for regulatory terms such as clinical trial/ensaio clinico, sponsor/patrocinador, biological product/produto biologico, medical device/dispositivo medico, and pharmacovigilance/farmacovigilancia.</w:t>
      </w:r>
    </w:p>
    <w:p>
      <w:pPr>
        <w:spacing w:line="324" w:lineRule="auto" w:after="120"/>
      </w:pPr>
      <w:r>
        <w:rPr>
          <w:rFonts w:ascii="Times New Roman" w:hAnsi="Times New Roman" w:eastAsia="Times New Roman"/>
          <w:b w:val="0"/>
          <w:i w:val="0"/>
          <w:color w:val="000000"/>
          <w:sz w:val="24"/>
        </w:rPr>
        <w:t>The main paper reports this at a high level. Full technical settings, including chunking, model identifiers, retrieval configuration, prompts, and judge rubric, are intended for Supplementary Information.</w:t>
      </w:r>
    </w:p>
    <w:p>
      <w:pPr>
        <w:spacing w:line="324" w:lineRule="auto" w:after="120"/>
      </w:pPr>
      <w:r>
        <w:rPr>
          <w:rFonts w:ascii="Times New Roman" w:hAnsi="Times New Roman" w:eastAsia="Times New Roman"/>
          <w:b w:val="0"/>
          <w:i w:val="0"/>
          <w:color w:val="000000"/>
          <w:sz w:val="24"/>
        </w:rPr>
        <w:t>Benchmark and evaluation</w:t>
      </w:r>
    </w:p>
    <w:p>
      <w:pPr>
        <w:spacing w:line="324" w:lineRule="auto" w:after="120"/>
      </w:pPr>
      <w:r>
        <w:rPr>
          <w:rFonts w:ascii="Times New Roman" w:hAnsi="Times New Roman" w:eastAsia="Times New Roman"/>
          <w:b w:val="0"/>
          <w:i w:val="0"/>
          <w:color w:val="000000"/>
          <w:sz w:val="24"/>
        </w:rPr>
        <w:t>The main benchmark contained 200 bilingual questions. It included direct answerable questions, multi-article questions, exception questions, false-premise questions, unanswerable questions, and adversarial questions. Questions were written in Portuguese and English to test the practical situation in which Brazilian regulatory documents are searched by local and international users.</w:t>
      </w:r>
    </w:p>
    <w:p>
      <w:pPr>
        <w:spacing w:line="324" w:lineRule="auto" w:after="120"/>
      </w:pPr>
      <w:r>
        <w:rPr>
          <w:rFonts w:ascii="Times New Roman" w:hAnsi="Times New Roman" w:eastAsia="Times New Roman"/>
          <w:b w:val="0"/>
          <w:i w:val="0"/>
          <w:color w:val="000000"/>
          <w:sz w:val="24"/>
        </w:rPr>
        <w:t>An answer was considered useful only if it was grounded in the indexed corpus. For answerable questions, the expected source document and article were recorded. For unanswerable questions, the expected behavior was refusal. Automated judging was used because an independent two-expert panel was not available. This limits the claim level. The results should be read as technical evaluation with audit trails, not expert regulatory validation.</w:t>
      </w:r>
    </w:p>
    <w:p>
      <w:pPr>
        <w:spacing w:line="324" w:lineRule="auto" w:after="120"/>
      </w:pPr>
      <w:r>
        <w:rPr>
          <w:rFonts w:ascii="Times New Roman" w:hAnsi="Times New Roman" w:eastAsia="Times New Roman"/>
          <w:b w:val="0"/>
          <w:i w:val="0"/>
          <w:color w:val="000000"/>
          <w:sz w:val="24"/>
        </w:rPr>
        <w:t>The automated judge was used as a structured scoring tool, not as a substitute for regulatory expertise. The judge assessed whether each answer was supported by the retrieved evidence, whether citations matched the evidence, whether the answer covered material parts of the question, and whether refusal was appropriate. Because the same project team built the benchmark and no independent expert panel reviewed all answers, the strongest defensible claim is that this was an auditable technical evaluation. The supplementary material should therefore provide the benchmark, generated answers, retrieved articles, automated scores, and failure categories.</w:t>
      </w:r>
    </w:p>
    <w:p>
      <w:pPr>
        <w:spacing w:line="324" w:lineRule="auto" w:after="120"/>
      </w:pPr>
      <w:r>
        <w:rPr>
          <w:rFonts w:ascii="Times New Roman" w:hAnsi="Times New Roman" w:eastAsia="Times New Roman"/>
          <w:b w:val="0"/>
          <w:i w:val="0"/>
          <w:color w:val="000000"/>
          <w:sz w:val="24"/>
        </w:rPr>
        <w:t>Development and error categories</w:t>
      </w:r>
    </w:p>
    <w:p>
      <w:pPr>
        <w:spacing w:line="324" w:lineRule="auto" w:after="120"/>
      </w:pPr>
      <w:r>
        <w:rPr>
          <w:rFonts w:ascii="Times New Roman" w:hAnsi="Times New Roman" w:eastAsia="Times New Roman"/>
          <w:b w:val="0"/>
          <w:i w:val="0"/>
          <w:color w:val="000000"/>
          <w:sz w:val="24"/>
        </w:rPr>
        <w:t>The evaluation was organized around categories of regulatory questions and categories of observed behavior. This was necessary because a single average score did not explain whether the system was useful for regulatory work. A direct article question, a rule-plus-exception question, a false-premise question, and a current operational question have different risks. The project therefore tracked not only whether an answer was scored as correct, but also what type of question produced the error and what was changed in response.</w:t>
      </w:r>
    </w:p>
    <w:p>
      <w:pPr>
        <w:spacing w:line="324" w:lineRule="auto" w:after="120"/>
      </w:pPr>
      <w:r>
        <w:rPr>
          <w:rFonts w:ascii="Times New Roman" w:hAnsi="Times New Roman" w:eastAsia="Times New Roman"/>
          <w:b w:val="0"/>
          <w:i w:val="0"/>
          <w:color w:val="000000"/>
          <w:sz w:val="24"/>
        </w:rPr>
        <w:t>The abbreviated development table below summarizes the main categories. The full artifact-to-claim mapping is provided separately in the development results story table, including the source files used for the first held-out AI-judge evaluation, English completeness repair, AI-authored prospective stress test, refusal-development run, and refusal-focused AI-authored prospective test.</w:t>
      </w:r>
    </w:p>
    <w:p>
      <w:pPr>
        <w:spacing w:line="324" w:lineRule="auto" w:after="120"/>
      </w:pPr>
      <w:r>
        <w:rPr>
          <w:rFonts w:ascii="Times New Roman" w:hAnsi="Times New Roman" w:eastAsia="Times New Roman"/>
          <w:b w:val="0"/>
          <w:i w:val="0"/>
          <w:color w:val="000000"/>
          <w:sz w:val="24"/>
        </w:rPr>
        <w:t>Table 2. Development decisions made after observed failures.</w:t>
      </w:r>
    </w:p>
    <w:p>
      <w:pPr>
        <w:spacing w:line="324" w:lineRule="auto" w:after="120"/>
      </w:pPr>
      <w:r>
        <w:rPr>
          <w:rFonts w:ascii="Times New Roman" w:hAnsi="Times New Roman" w:eastAsia="Times New Roman"/>
          <w:b w:val="0"/>
          <w:i w:val="0"/>
          <w:color w:val="000000"/>
          <w:sz w:val="24"/>
        </w:rPr>
        <w:t>| Observed problem | Evidence from testing | Change made | Reason for regulatory use |</w:t>
      </w:r>
    </w:p>
    <w:p>
      <w:pPr>
        <w:spacing w:line="324" w:lineRule="auto" w:after="120"/>
      </w:pPr>
      <w:r>
        <w:rPr>
          <w:rFonts w:ascii="Times New Roman" w:hAnsi="Times New Roman" w:eastAsia="Times New Roman"/>
          <w:b w:val="0"/>
          <w:i w:val="0"/>
          <w:color w:val="000000"/>
          <w:sz w:val="24"/>
        </w:rPr>
        <w:t>|---|---|---|---|</w:t>
      </w:r>
    </w:p>
    <w:p>
      <w:pPr>
        <w:spacing w:line="324" w:lineRule="auto" w:after="120"/>
      </w:pPr>
      <w:r>
        <w:rPr>
          <w:rFonts w:ascii="Times New Roman" w:hAnsi="Times New Roman" w:eastAsia="Times New Roman"/>
          <w:b w:val="0"/>
          <w:i w:val="0"/>
          <w:color w:val="000000"/>
          <w:sz w:val="24"/>
        </w:rPr>
        <w:t>| Source text was noisy or poorly structured. | Early app tests and corpus review showed formatting artifacts and document-label problems. | Cleaned source text and verified document identity before indexing. | A regulatory answer is only useful if the cited source is identifiable. |</w:t>
      </w:r>
    </w:p>
    <w:p>
      <w:pPr>
        <w:spacing w:line="324" w:lineRule="auto" w:after="120"/>
      </w:pPr>
      <w:r>
        <w:rPr>
          <w:rFonts w:ascii="Times New Roman" w:hAnsi="Times New Roman" w:eastAsia="Times New Roman"/>
          <w:b w:val="0"/>
          <w:i w:val="0"/>
          <w:color w:val="000000"/>
          <w:sz w:val="24"/>
        </w:rPr>
        <w:t>| Arbitrary chunks did not match legal structure. | Correct documents were sometimes nearby but answers missed article-level conditions. | Rebuilt the index with article-aware chunks and article metadata. | Users need checkable article citations, not only semantically similar passages. |</w:t>
      </w:r>
    </w:p>
    <w:p>
      <w:pPr>
        <w:spacing w:line="324" w:lineRule="auto" w:after="120"/>
      </w:pPr>
      <w:r>
        <w:rPr>
          <w:rFonts w:ascii="Times New Roman" w:hAnsi="Times New Roman" w:eastAsia="Times New Roman"/>
          <w:b w:val="0"/>
          <w:i w:val="0"/>
          <w:color w:val="000000"/>
          <w:sz w:val="24"/>
        </w:rPr>
        <w:t>| Dense retrieval alone was weak for exact legal terms. | Terms such as DDCM, RDC numbers, article numbers, and IN 338/2024 required exact matching. | Added BM25 retrieval, reciprocal-rank fusion, and reranking. | Regulatory questions often depend on exact terms and article labels. |</w:t>
      </w:r>
    </w:p>
    <w:p>
      <w:pPr>
        <w:spacing w:line="324" w:lineRule="auto" w:after="120"/>
      </w:pPr>
      <w:r>
        <w:rPr>
          <w:rFonts w:ascii="Times New Roman" w:hAnsi="Times New Roman" w:eastAsia="Times New Roman"/>
          <w:b w:val="0"/>
          <w:i w:val="0"/>
          <w:color w:val="000000"/>
          <w:sz w:val="24"/>
        </w:rPr>
        <w:t>| English questions over Portuguese documents lost completeness. | Initial English completeness was lower than Portuguese completeness. | Added conservative Portuguese retrieval anchors while preserving answer language. | International users may ask in English while the source corpus remains Portuguese. |</w:t>
      </w:r>
    </w:p>
    <w:p>
      <w:pPr>
        <w:spacing w:line="324" w:lineRule="auto" w:after="120"/>
      </w:pPr>
      <w:r>
        <w:rPr>
          <w:rFonts w:ascii="Times New Roman" w:hAnsi="Times New Roman" w:eastAsia="Times New Roman"/>
          <w:b w:val="0"/>
          <w:i w:val="0"/>
          <w:color w:val="000000"/>
          <w:sz w:val="24"/>
        </w:rPr>
        <w:t>| The system answered from related but insufficient context. | AI-authored prospective stress testing showed refusal correctness of 0.700. | Tightened the refusal rule and tested a separate refusal-focused AI-authored set. | A related article is not enough when the specific requested fact is absent. |</w:t>
      </w:r>
    </w:p>
    <w:p>
      <w:pPr>
        <w:pStyle w:val="Heading1"/>
        <w:spacing w:line="264" w:lineRule="auto" w:after="120"/>
      </w:pPr>
      <w:r>
        <w:rPr>
          <w:rFonts w:ascii="Times New Roman" w:hAnsi="Times New Roman" w:eastAsia="Times New Roman"/>
          <w:b/>
          <w:i w:val="0"/>
          <w:color w:val="000000"/>
          <w:sz w:val="28"/>
        </w:rPr>
        <w:t>Results</w:t>
      </w:r>
    </w:p>
    <w:p>
      <w:pPr>
        <w:spacing w:line="324" w:lineRule="auto" w:after="120"/>
      </w:pPr>
      <w:r>
        <w:rPr>
          <w:rFonts w:ascii="Times New Roman" w:hAnsi="Times New Roman" w:eastAsia="Times New Roman"/>
          <w:b w:val="0"/>
          <w:i w:val="0"/>
          <w:color w:val="000000"/>
          <w:sz w:val="24"/>
        </w:rPr>
        <w:t>Direct regulatory questions</w:t>
      </w:r>
    </w:p>
    <w:p>
      <w:pPr>
        <w:spacing w:line="324" w:lineRule="auto" w:after="120"/>
      </w:pPr>
      <w:r>
        <w:rPr>
          <w:rFonts w:ascii="Times New Roman" w:hAnsi="Times New Roman" w:eastAsia="Times New Roman"/>
          <w:b w:val="0"/>
          <w:i w:val="0"/>
          <w:color w:val="000000"/>
          <w:sz w:val="24"/>
        </w:rPr>
        <w:t>The system performed well when the question matched an article in the corpus and the expected answer was compact. For example, it correctly answered that a pharmacovigilance notification under RDC 406/2020 requires identification of the notifier, identification of the patient, description of the adverse event, and name of the suspected medicine. It cited RDC 406/2020, Art. 32.</w:t>
      </w:r>
    </w:p>
    <w:p>
      <w:pPr>
        <w:spacing w:line="324" w:lineRule="auto" w:after="120"/>
      </w:pPr>
      <w:r>
        <w:rPr>
          <w:rFonts w:ascii="Times New Roman" w:hAnsi="Times New Roman" w:eastAsia="Times New Roman"/>
          <w:b w:val="0"/>
          <w:i w:val="0"/>
          <w:color w:val="000000"/>
          <w:sz w:val="24"/>
        </w:rPr>
        <w:t>It also correctly handled false-premise questions. When asked whether a notification is valid without patient identification if the suspected medicine is named, the system answered no and pointed back to the minimum required elements in RDC 406/2020, Art. 32. This is important because regulatory users often ask questions in a form that contains an assumption. A useful system should not merely agree with the premise.</w:t>
      </w:r>
    </w:p>
    <w:p>
      <w:pPr>
        <w:spacing w:line="324" w:lineRule="auto" w:after="120"/>
      </w:pPr>
      <w:r>
        <w:rPr>
          <w:rFonts w:ascii="Times New Roman" w:hAnsi="Times New Roman" w:eastAsia="Times New Roman"/>
          <w:b w:val="0"/>
          <w:i w:val="0"/>
          <w:color w:val="000000"/>
          <w:sz w:val="24"/>
        </w:rPr>
        <w:t>The system also answered questions relevant to clinical-trial conduct. For example, when asked whether possible SUSAR reporting allows unblinding all participants, the system answered that unblinding should be limited to the affected participant and cited RDC 945/2024, Art. 67. This type of question is operationally important because it connects safety reporting with trial integrity.</w:t>
      </w:r>
    </w:p>
    <w:p>
      <w:pPr>
        <w:spacing w:line="324" w:lineRule="auto" w:after="120"/>
      </w:pPr>
      <w:r>
        <w:rPr>
          <w:rFonts w:ascii="Times New Roman" w:hAnsi="Times New Roman" w:eastAsia="Times New Roman"/>
          <w:b w:val="0"/>
          <w:i w:val="0"/>
          <w:color w:val="000000"/>
          <w:sz w:val="24"/>
        </w:rPr>
        <w:t>These examples show why article-level citation was treated as part of the answer, not as a display feature. In each case, a regulatory user would still need to inspect the cited article before applying the information. The system's useful role was to narrow the search and provide a checkable summary. That use case is different from relying on the system to make a submission decision or interpret the full legal position for a product.</w:t>
      </w:r>
    </w:p>
    <w:p>
      <w:pPr>
        <w:spacing w:line="324" w:lineRule="auto" w:after="120"/>
      </w:pPr>
      <w:r>
        <w:rPr>
          <w:rFonts w:ascii="Times New Roman" w:hAnsi="Times New Roman" w:eastAsia="Times New Roman"/>
          <w:b w:val="0"/>
          <w:i w:val="0"/>
          <w:color w:val="000000"/>
          <w:sz w:val="24"/>
        </w:rPr>
        <w:t>Examples of correct and incorrect behavior</w:t>
      </w:r>
    </w:p>
    <w:p>
      <w:pPr>
        <w:spacing w:line="324" w:lineRule="auto" w:after="120"/>
      </w:pPr>
      <w:r>
        <w:rPr>
          <w:rFonts w:ascii="Times New Roman" w:hAnsi="Times New Roman" w:eastAsia="Times New Roman"/>
          <w:b w:val="0"/>
          <w:i w:val="0"/>
          <w:color w:val="000000"/>
          <w:sz w:val="24"/>
        </w:rPr>
        <w:t>Table 3 shows representative examples. The table is more informative than an aggregate metric because it shows what a regulatory reader would need to inspect.</w:t>
      </w:r>
    </w:p>
    <w:p>
      <w:pPr>
        <w:spacing w:line="324" w:lineRule="auto" w:after="120"/>
      </w:pPr>
      <w:r>
        <w:rPr>
          <w:rFonts w:ascii="Times New Roman" w:hAnsi="Times New Roman" w:eastAsia="Times New Roman"/>
          <w:b w:val="0"/>
          <w:i w:val="0"/>
          <w:color w:val="000000"/>
          <w:sz w:val="24"/>
        </w:rPr>
        <w:t>Table 3. Representative answer outcomes.</w:t>
      </w:r>
    </w:p>
    <w:p>
      <w:pPr>
        <w:spacing w:line="324" w:lineRule="auto" w:after="120"/>
      </w:pPr>
      <w:r>
        <w:rPr>
          <w:rFonts w:ascii="Times New Roman" w:hAnsi="Times New Roman" w:eastAsia="Times New Roman"/>
          <w:b w:val="0"/>
          <w:i w:val="0"/>
          <w:color w:val="000000"/>
          <w:sz w:val="24"/>
        </w:rPr>
        <w:t>| Outcome | Example question | What the result showed |</w:t>
      </w:r>
    </w:p>
    <w:p>
      <w:pPr>
        <w:spacing w:line="324" w:lineRule="auto" w:after="120"/>
      </w:pPr>
      <w:r>
        <w:rPr>
          <w:rFonts w:ascii="Times New Roman" w:hAnsi="Times New Roman" w:eastAsia="Times New Roman"/>
          <w:b w:val="0"/>
          <w:i w:val="0"/>
          <w:color w:val="000000"/>
          <w:sz w:val="24"/>
        </w:rPr>
        <w:t>|---|---|---|</w:t>
      </w:r>
    </w:p>
    <w:p>
      <w:pPr>
        <w:spacing w:line="324" w:lineRule="auto" w:after="120"/>
      </w:pPr>
      <w:r>
        <w:rPr>
          <w:rFonts w:ascii="Times New Roman" w:hAnsi="Times New Roman" w:eastAsia="Times New Roman"/>
          <w:b w:val="0"/>
          <w:i w:val="0"/>
          <w:color w:val="000000"/>
          <w:sz w:val="24"/>
        </w:rPr>
        <w:t>| Correct direct answer | Which minimum information makes a notification valid and reportable? | The system retrieved RDC 406/2020, Art. 32 and gave the main required elements. |</w:t>
      </w:r>
    </w:p>
    <w:p>
      <w:pPr>
        <w:spacing w:line="324" w:lineRule="auto" w:after="120"/>
      </w:pPr>
      <w:r>
        <w:rPr>
          <w:rFonts w:ascii="Times New Roman" w:hAnsi="Times New Roman" w:eastAsia="Times New Roman"/>
          <w:b w:val="0"/>
          <w:i w:val="0"/>
          <w:color w:val="000000"/>
          <w:sz w:val="24"/>
        </w:rPr>
        <w:t>| Correct false-premise handling | Is a notification valid without patient identification if the suspected medicine is named? | The system rejected the premise and cited RDC 406/2020, Art. 32. |</w:t>
      </w:r>
    </w:p>
    <w:p>
      <w:pPr>
        <w:spacing w:line="324" w:lineRule="auto" w:after="120"/>
      </w:pPr>
      <w:r>
        <w:rPr>
          <w:rFonts w:ascii="Times New Roman" w:hAnsi="Times New Roman" w:eastAsia="Times New Roman"/>
          <w:b w:val="0"/>
          <w:i w:val="0"/>
          <w:color w:val="000000"/>
          <w:sz w:val="24"/>
        </w:rPr>
        <w:t>| Correct refusal | What is the current MedDRA version required today? | The system refused because the current required version was outside the indexed corpus. |</w:t>
      </w:r>
    </w:p>
    <w:p>
      <w:pPr>
        <w:spacing w:line="324" w:lineRule="auto" w:after="120"/>
      </w:pPr>
      <w:r>
        <w:rPr>
          <w:rFonts w:ascii="Times New Roman" w:hAnsi="Times New Roman" w:eastAsia="Times New Roman"/>
          <w:b w:val="0"/>
          <w:i w:val="0"/>
          <w:color w:val="000000"/>
          <w:sz w:val="24"/>
        </w:rPr>
        <w:t>| Incomplete answer | What information must appear for non-printed instructions for use? | The system retrieved RDC 751/2022, Art. 51 but omitted that instructions must remain available while the product is on the market. |</w:t>
      </w:r>
    </w:p>
    <w:p>
      <w:pPr>
        <w:spacing w:line="324" w:lineRule="auto" w:after="120"/>
      </w:pPr>
      <w:r>
        <w:rPr>
          <w:rFonts w:ascii="Times New Roman" w:hAnsi="Times New Roman" w:eastAsia="Times New Roman"/>
          <w:b w:val="0"/>
          <w:i w:val="0"/>
          <w:color w:val="000000"/>
          <w:sz w:val="24"/>
        </w:rPr>
        <w:t>| False refusal | Under RDC 945/2024, until when must DSURs be sent to Anvisa and what is the annual reference date? | One English external-test answer refused although the indexed corpus contained the answer. |</w:t>
      </w:r>
    </w:p>
    <w:p>
      <w:pPr>
        <w:spacing w:line="324" w:lineRule="auto" w:after="120"/>
      </w:pPr>
      <w:r>
        <w:rPr>
          <w:rFonts w:ascii="Times New Roman" w:hAnsi="Times New Roman" w:eastAsia="Times New Roman"/>
          <w:b w:val="0"/>
          <w:i w:val="0"/>
          <w:color w:val="000000"/>
          <w:sz w:val="24"/>
        </w:rPr>
        <w:t>| Refusal failure before calibration | What is the current electronic form model for notifying SUSARs to Anvisa? | The earlier system answered from a related notification rule although the exact current form model was absent. |</w:t>
      </w:r>
    </w:p>
    <w:p>
      <w:pPr>
        <w:spacing w:line="324" w:lineRule="auto" w:after="120"/>
      </w:pPr>
      <w:r>
        <w:rPr>
          <w:rFonts w:ascii="Times New Roman" w:hAnsi="Times New Roman" w:eastAsia="Times New Roman"/>
          <w:b w:val="0"/>
          <w:i w:val="0"/>
          <w:color w:val="000000"/>
          <w:sz w:val="24"/>
        </w:rPr>
        <w:t>Completeness errors mattered more than raw retrieval</w:t>
      </w:r>
    </w:p>
    <w:p>
      <w:pPr>
        <w:spacing w:line="324" w:lineRule="auto" w:after="120"/>
      </w:pPr>
      <w:r>
        <w:rPr>
          <w:rFonts w:ascii="Times New Roman" w:hAnsi="Times New Roman" w:eastAsia="Times New Roman"/>
          <w:b w:val="0"/>
          <w:i w:val="0"/>
          <w:color w:val="000000"/>
          <w:sz w:val="24"/>
        </w:rPr>
        <w:t>Several errors occurred even when the correct document or article was nearby. The most common pattern was omission of a condition.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instructions remain available while the product remains on the market. In a biological-product question, it gave the exception but did not first state the general rule.</w:t>
      </w:r>
    </w:p>
    <w:p>
      <w:pPr>
        <w:spacing w:line="324" w:lineRule="auto" w:after="120"/>
      </w:pPr>
      <w:r>
        <w:rPr>
          <w:rFonts w:ascii="Times New Roman" w:hAnsi="Times New Roman" w:eastAsia="Times New Roman"/>
          <w:b w:val="0"/>
          <w:i w:val="0"/>
          <w:color w:val="000000"/>
          <w:sz w:val="24"/>
        </w:rPr>
        <w:t>These are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line="324" w:lineRule="auto" w:after="120"/>
      </w:pPr>
      <w:r>
        <w:rPr>
          <w:rFonts w:ascii="Times New Roman" w:hAnsi="Times New Roman" w:eastAsia="Times New Roman"/>
          <w:b w:val="0"/>
          <w:i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matters because a system may appear strong on retrieval metrics while still producing answers that are too short for regulatory use.</w:t>
      </w:r>
    </w:p>
    <w:p>
      <w:pPr>
        <w:spacing w:line="324" w:lineRule="auto" w:after="120"/>
      </w:pPr>
      <w:r>
        <w:rPr>
          <w:rFonts w:ascii="Times New Roman" w:hAnsi="Times New Roman" w:eastAsia="Times New Roman"/>
          <w:b w:val="0"/>
          <w:i w:val="0"/>
          <w:color w:val="000000"/>
          <w:sz w:val="24"/>
        </w:rPr>
        <w:t>AI-authored prospective testing changed the interpretation</w:t>
      </w:r>
    </w:p>
    <w:p>
      <w:pPr>
        <w:spacing w:line="324" w:lineRule="auto" w:after="120"/>
      </w:pPr>
      <w:r>
        <w:rPr>
          <w:rFonts w:ascii="Times New Roman" w:hAnsi="Times New Roman" w:eastAsia="Times New Roman"/>
          <w:b w:val="0"/>
          <w:i w:val="0"/>
          <w:color w:val="000000"/>
          <w:sz w:val="24"/>
        </w:rPr>
        <w:t>Internal results became high after the system was repaired. Those results showed that the final system passed the internal benchmark, but they were not enough to support a strong general claim. For that reason, an AI-authored prospective stress test was run.</w:t>
      </w:r>
    </w:p>
    <w:p>
      <w:pPr>
        <w:spacing w:line="324" w:lineRule="auto" w:after="120"/>
      </w:pPr>
      <w:r>
        <w:rPr>
          <w:rFonts w:ascii="Times New Roman" w:hAnsi="Times New Roman" w:eastAsia="Times New Roman"/>
          <w:b w:val="0"/>
          <w:i w:val="0"/>
          <w:color w:val="000000"/>
          <w:sz w:val="24"/>
        </w:rPr>
        <w:t>The AI-authored prospective test supported the answerable-question use case but exposed refusal as the main remaining weakness. The system generally found and cited relevant evidence for answerable questions. However, for unanswerable or adversarial questions, it sometimes answered from nearby regulatory text instead of saying that the corpus did not contain the specific requested fact.</w:t>
      </w:r>
    </w:p>
    <w:p>
      <w:pPr>
        <w:spacing w:line="324" w:lineRule="auto" w:after="120"/>
      </w:pPr>
      <w:r>
        <w:rPr>
          <w:rFonts w:ascii="Times New Roman" w:hAnsi="Times New Roman" w:eastAsia="Times New Roman"/>
          <w:b w:val="0"/>
          <w:i w:val="0"/>
          <w:color w:val="000000"/>
          <w:sz w:val="24"/>
        </w:rPr>
        <w:t>This shifted the interpretation of the project. The main problem was not simply "Can the system retrieve ANVISA text?" It was "Can the system distinguish a related article from an article that actually answers the question?" That distinction is central for regulatory use.</w:t>
      </w:r>
    </w:p>
    <w:p>
      <w:pPr>
        <w:pStyle w:val="Heading2"/>
        <w:spacing w:line="264" w:lineRule="auto" w:after="120"/>
      </w:pPr>
      <w:r>
        <w:rPr>
          <w:rFonts w:ascii="Times New Roman" w:hAnsi="Times New Roman" w:eastAsia="Times New Roman"/>
          <w:b/>
          <w:i w:val="0"/>
          <w:color w:val="000000"/>
          <w:sz w:val="26"/>
        </w:rPr>
        <w:t>Refusal calibration</w:t>
      </w:r>
    </w:p>
    <w:p>
      <w:pPr>
        <w:spacing w:line="324" w:lineRule="auto" w:after="120"/>
      </w:pPr>
      <w:r>
        <w:rPr>
          <w:rFonts w:ascii="Times New Roman" w:hAnsi="Times New Roman" w:eastAsia="Times New Roman"/>
          <w:b w:val="0"/>
          <w:i w:val="0"/>
          <w:color w:val="000000"/>
          <w:sz w:val="24"/>
        </w:rPr>
        <w:t>A separate refusal-calibration step was then performed using development data. The later refusal-focused AI-authored prospective test included questions about current support phone numbers, current MedDRA versions, petition subject codes, exact URLs, private case status, future approvals, legal advice, and specific operational documents not present in the corpus.</w:t>
      </w:r>
    </w:p>
    <w:p>
      <w:pPr>
        <w:spacing w:line="324" w:lineRule="auto" w:after="120"/>
      </w:pPr>
      <w:r>
        <w:rPr>
          <w:rFonts w:ascii="Times New Roman" w:hAnsi="Times New Roman" w:eastAsia="Times New Roman"/>
          <w:b w:val="0"/>
          <w:i w:val="0"/>
          <w:color w:val="000000"/>
          <w:sz w:val="24"/>
        </w:rPr>
        <w:t>After calibration, the system correctly refused most unanswerable questions and did not over-refuse answerable controls. It correctly refused questions such as the current MedDRA version, current support phone number, and petition subject code for reliance when those facts were not present in the indexed documents. One remaining boundary problem involved questions where the corpus described general enforcement consequences but did not contain the exact penalty requested.</w:t>
      </w:r>
    </w:p>
    <w:p>
      <w:pPr>
        <w:spacing w:line="324" w:lineRule="auto" w:after="120"/>
      </w:pPr>
      <w:r>
        <w:rPr>
          <w:rFonts w:ascii="Times New Roman" w:hAnsi="Times New Roman" w:eastAsia="Times New Roman"/>
          <w:b w:val="0"/>
          <w:i w:val="0"/>
          <w:color w:val="000000"/>
          <w:sz w:val="24"/>
        </w:rPr>
        <w:t>This repair did not make refusal behavior solved. It made the remaining problem narrower. The system became better at refusing questions about current forms, exact codes, private cases, URLs, future approvals, and operational information outside the corpus. The harder residual case was when the corpus contained a related general rule but not the specific fact requested. That is an important regulatory boundary because related evidence can be persuasive but still insufficient.</w:t>
      </w:r>
    </w:p>
    <w:p>
      <w:pPr>
        <w:spacing w:line="324" w:lineRule="auto" w:after="120"/>
      </w:pPr>
      <w:r>
        <w:rPr>
          <w:rFonts w:ascii="Times New Roman" w:hAnsi="Times New Roman" w:eastAsia="Times New Roman"/>
          <w:b w:val="0"/>
          <w:i w:val="0"/>
          <w:color w:val="000000"/>
          <w:sz w:val="24"/>
        </w:rPr>
        <w:t>Summary metrics</w:t>
      </w:r>
    </w:p>
    <w:p>
      <w:pPr>
        <w:spacing w:line="324" w:lineRule="auto" w:after="120"/>
      </w:pPr>
      <w:r>
        <w:rPr>
          <w:rFonts w:ascii="Times New Roman" w:hAnsi="Times New Roman" w:eastAsia="Times New Roman"/>
          <w:b w:val="0"/>
          <w:i w:val="0"/>
          <w:color w:val="000000"/>
          <w:sz w:val="24"/>
        </w:rPr>
        <w:t>Aggregate metrics are useful, but they should be interpreted through the examples above. In the first AI-authored prospective stress test, answerable-question performance was strong, with normalized article Recall@5 of 0.967 and AI-judge completeness of 0.943. Refusal correctness was weaker at 0.700. After refusal calibration, the refusal-focused AI-authored prospective test reached refusal correctness of 0.944, with no over-refusal on answerable controls.</w:t>
      </w:r>
    </w:p>
    <w:p>
      <w:pPr>
        <w:jc w:val="center"/>
      </w:pPr>
      <w:r>
        <w:drawing>
          <wp:inline xmlns:a="http://schemas.openxmlformats.org/drawingml/2006/main" xmlns:pic="http://schemas.openxmlformats.org/drawingml/2006/picture">
            <wp:extent cx="5669280" cy="3753697"/>
            <wp:docPr id="1" name="Picture 1"/>
            <wp:cNvGraphicFramePr>
              <a:graphicFrameLocks noChangeAspect="1"/>
            </wp:cNvGraphicFramePr>
            <a:graphic>
              <a:graphicData uri="http://schemas.openxmlformats.org/drawingml/2006/picture">
                <pic:pic>
                  <pic:nvPicPr>
                    <pic:cNvPr id="0" name="Figure_3A_development_stage_answer_quality.png"/>
                    <pic:cNvPicPr/>
                  </pic:nvPicPr>
                  <pic:blipFill>
                    <a:blip r:embed="rId9"/>
                    <a:stretch>
                      <a:fillRect/>
                    </a:stretch>
                  </pic:blipFill>
                  <pic:spPr>
                    <a:xfrm>
                      <a:off x="0" y="0"/>
                      <a:ext cx="5669280" cy="3753697"/>
                    </a:xfrm>
                    <a:prstGeom prst="rect"/>
                  </pic:spPr>
                </pic:pic>
              </a:graphicData>
            </a:graphic>
          </wp:inline>
        </w:drawing>
      </w:r>
    </w:p>
    <w:p>
      <w:pPr>
        <w:spacing w:line="324" w:lineRule="auto" w:after="120"/>
      </w:pPr>
      <w:r>
        <w:rPr>
          <w:rFonts w:ascii="Times New Roman" w:hAnsi="Times New Roman" w:eastAsia="Times New Roman"/>
          <w:b w:val="0"/>
          <w:i w:val="0"/>
          <w:color w:val="000000"/>
          <w:sz w:val="20"/>
        </w:rPr>
        <w:t>Figure 3A. Development-stage answer-quality metrics. Mean AI-judge scores are shown for faithfulness, citation correctness, completeness, and refusal correctness across the main evaluation stages. The stages used different evaluation sets; the plot summarizes the development history and should not be interpreted as a paired repeated-measure comparison. Values and filters are documented in the figure source table.</w:t>
      </w:r>
    </w:p>
    <w:p>
      <w:pPr>
        <w:jc w:val="center"/>
      </w:pPr>
      <w:r>
        <w:drawing>
          <wp:inline xmlns:a="http://schemas.openxmlformats.org/drawingml/2006/main" xmlns:pic="http://schemas.openxmlformats.org/drawingml/2006/picture">
            <wp:extent cx="5669280" cy="3104092"/>
            <wp:docPr id="2" name="Picture 2"/>
            <wp:cNvGraphicFramePr>
              <a:graphicFrameLocks noChangeAspect="1"/>
            </wp:cNvGraphicFramePr>
            <a:graphic>
              <a:graphicData uri="http://schemas.openxmlformats.org/drawingml/2006/picture">
                <pic:pic>
                  <pic:nvPicPr>
                    <pic:cNvPr id="0" name="Figure_3B_targeted_weak_point_repairs.png"/>
                    <pic:cNvPicPr/>
                  </pic:nvPicPr>
                  <pic:blipFill>
                    <a:blip r:embed="rId10"/>
                    <a:stretch>
                      <a:fillRect/>
                    </a:stretch>
                  </pic:blipFill>
                  <pic:spPr>
                    <a:xfrm>
                      <a:off x="0" y="0"/>
                      <a:ext cx="5669280" cy="3104092"/>
                    </a:xfrm>
                    <a:prstGeom prst="rect"/>
                  </pic:spPr>
                </pic:pic>
              </a:graphicData>
            </a:graphic>
          </wp:inline>
        </w:drawing>
      </w:r>
    </w:p>
    <w:p>
      <w:pPr>
        <w:spacing w:line="324" w:lineRule="auto" w:after="120"/>
      </w:pPr>
      <w:r>
        <w:rPr>
          <w:rFonts w:ascii="Times New Roman" w:hAnsi="Times New Roman" w:eastAsia="Times New Roman"/>
          <w:b w:val="0"/>
          <w:i w:val="0"/>
          <w:color w:val="000000"/>
          <w:sz w:val="20"/>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prospective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w:t>
      </w:r>
    </w:p>
    <w:p>
      <w:pPr>
        <w:spacing w:line="324" w:lineRule="auto" w:after="120"/>
      </w:pPr>
      <w:r>
        <w:rPr>
          <w:rFonts w:ascii="Times New Roman" w:hAnsi="Times New Roman" w:eastAsia="Times New Roman"/>
          <w:b w:val="0"/>
          <w:i w:val="0"/>
          <w:color w:val="000000"/>
          <w:sz w:val="24"/>
        </w:rPr>
        <w:t>The full development decision table, expanded example table, and evaluation-stage summary are provided in Supplementary Tables S1-S3.</w:t>
      </w:r>
    </w:p>
    <w:p>
      <w:pPr>
        <w:pStyle w:val="Heading1"/>
        <w:spacing w:line="264" w:lineRule="auto" w:after="120"/>
      </w:pPr>
      <w:r>
        <w:rPr>
          <w:rFonts w:ascii="Times New Roman" w:hAnsi="Times New Roman" w:eastAsia="Times New Roman"/>
          <w:b/>
          <w:i w:val="0"/>
          <w:color w:val="000000"/>
          <w:sz w:val="28"/>
        </w:rPr>
        <w:t>Discussion</w:t>
      </w:r>
    </w:p>
    <w:p>
      <w:pPr>
        <w:pStyle w:val="Heading2"/>
        <w:spacing w:line="264" w:lineRule="auto" w:after="120"/>
      </w:pPr>
      <w:r>
        <w:rPr>
          <w:rFonts w:ascii="Times New Roman" w:hAnsi="Times New Roman" w:eastAsia="Times New Roman"/>
          <w:b/>
          <w:i w:val="0"/>
          <w:color w:val="000000"/>
          <w:sz w:val="26"/>
        </w:rPr>
        <w:t>Principal finding</w:t>
      </w:r>
    </w:p>
    <w:p>
      <w:pPr>
        <w:spacing w:line="324" w:lineRule="auto" w:after="120"/>
      </w:pPr>
      <w:r>
        <w:rPr>
          <w:rFonts w:ascii="Times New Roman" w:hAnsi="Times New Roman" w:eastAsia="Times New Roman"/>
          <w:b w:val="0"/>
          <w:i w:val="0"/>
          <w:color w:val="000000"/>
          <w:sz w:val="24"/>
        </w:rPr>
        <w:t>The main finding is not that the system achieved high average scores. The main finding is that a bilingual RAG prototype can support traceable access to selected ANVISA documents, but its usefulness depends on three controls: article citation, completeness checking, and refusal when the indexed documents do not contain the requested fact.</w:t>
      </w:r>
    </w:p>
    <w:p>
      <w:pPr>
        <w:spacing w:line="324" w:lineRule="auto" w:after="120"/>
      </w:pPr>
      <w:r>
        <w:rPr>
          <w:rFonts w:ascii="Times New Roman" w:hAnsi="Times New Roman" w:eastAsia="Times New Roman"/>
          <w:b w:val="0"/>
          <w:i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spacing w:line="324" w:lineRule="auto" w:after="120"/>
      </w:pPr>
      <w:r>
        <w:rPr>
          <w:rFonts w:ascii="Times New Roman" w:hAnsi="Times New Roman" w:eastAsia="Times New Roman"/>
          <w:b w:val="0"/>
          <w:i w:val="0"/>
          <w:color w:val="000000"/>
          <w:sz w:val="24"/>
        </w:rPr>
        <w:t>Why examples should be central</w:t>
      </w:r>
    </w:p>
    <w:p>
      <w:pPr>
        <w:spacing w:line="324" w:lineRule="auto" w:after="120"/>
      </w:pPr>
      <w:r>
        <w:rPr>
          <w:rFonts w:ascii="Times New Roman" w:hAnsi="Times New Roman" w:eastAsia="Times New Roman"/>
          <w:b w:val="0"/>
          <w:i w:val="0"/>
          <w:color w:val="000000"/>
          <w:sz w:val="24"/>
        </w:rPr>
        <w:t>Average metrics can hide the difference between minor and important errors. A completeness score does not tell the reader whether the omitted item was trivial or operationally important. The examples show that omissions can involve active-search obligations, ICH E2F conditions, market-availability requirements for instructions for use, or the general rule before a biological-product exception. These are the kinds of details that matter in regulatory practice.</w:t>
      </w:r>
    </w:p>
    <w:p>
      <w:pPr>
        <w:spacing w:line="324" w:lineRule="auto" w:after="120"/>
      </w:pPr>
      <w:r>
        <w:rPr>
          <w:rFonts w:ascii="Times New Roman" w:hAnsi="Times New Roman" w:eastAsia="Times New Roman"/>
          <w:b w:val="0"/>
          <w:i w:val="0"/>
          <w:color w:val="000000"/>
          <w:sz w:val="24"/>
        </w:rPr>
        <w:t>The examples also show why refusal behavior deserves a separate endpoint. A question about a current phone number, current MedDRA version, petition subject code, or exact current form model may sound regulatory, but the answer may not be in a closed corpus of resolutions. A system that answers such questions from nearby text can create false confidence.</w:t>
      </w:r>
    </w:p>
    <w:p>
      <w:pPr>
        <w:pStyle w:val="Heading2"/>
        <w:spacing w:line="264" w:lineRule="auto" w:after="120"/>
      </w:pPr>
      <w:r>
        <w:rPr>
          <w:rFonts w:ascii="Times New Roman" w:hAnsi="Times New Roman" w:eastAsia="Times New Roman"/>
          <w:b/>
          <w:i w:val="0"/>
          <w:color w:val="000000"/>
          <w:sz w:val="26"/>
        </w:rPr>
        <w:t>Implications for drug development and regulatory affairs</w:t>
      </w:r>
    </w:p>
    <w:p>
      <w:pPr>
        <w:spacing w:line="324" w:lineRule="auto" w:after="120"/>
      </w:pPr>
      <w:r>
        <w:rPr>
          <w:rFonts w:ascii="Times New Roman" w:hAnsi="Times New Roman" w:eastAsia="Times New Roman"/>
          <w:b w:val="0"/>
          <w:i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pPr>
        <w:spacing w:line="324" w:lineRule="auto" w:after="120"/>
      </w:pPr>
      <w:r>
        <w:rPr>
          <w:rFonts w:ascii="Times New Roman" w:hAnsi="Times New Roman" w:eastAsia="Times New Roman"/>
          <w:b w:val="0"/>
          <w:i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pPr>
        <w:spacing w:line="324" w:lineRule="auto" w:after="120"/>
      </w:pPr>
      <w:r>
        <w:rPr>
          <w:rFonts w:ascii="Times New Roman" w:hAnsi="Times New Roman" w:eastAsia="Times New Roman"/>
          <w:b w:val="0"/>
          <w:i w:val="0"/>
          <w:color w:val="000000"/>
          <w:sz w:val="24"/>
        </w:rPr>
        <w:t>The examples also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not full regulatory strategies. They are narrow evidence-location tasks, which is the level at which a closed-corpus RAG tool can be tested responsibly.</w:t>
      </w:r>
    </w:p>
    <w:p>
      <w:pPr>
        <w:pStyle w:val="Heading2"/>
        <w:spacing w:line="264" w:lineRule="auto" w:after="120"/>
      </w:pPr>
      <w:r>
        <w:rPr>
          <w:rFonts w:ascii="Times New Roman" w:hAnsi="Times New Roman" w:eastAsia="Times New Roman"/>
          <w:b/>
          <w:i w:val="0"/>
          <w:color w:val="000000"/>
          <w:sz w:val="26"/>
        </w:rPr>
        <w:t>Intended users and confidence boundary</w:t>
      </w:r>
    </w:p>
    <w:p>
      <w:pPr>
        <w:spacing w:line="324" w:lineRule="auto" w:after="120"/>
      </w:pPr>
      <w:r>
        <w:rPr>
          <w:rFonts w:ascii="Times New Roman" w:hAnsi="Times New Roman" w:eastAsia="Times New Roman"/>
          <w:b w:val="0"/>
          <w:i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pPr>
        <w:spacing w:line="324" w:lineRule="auto" w:after="120"/>
      </w:pPr>
      <w:r>
        <w:rPr>
          <w:rFonts w:ascii="Times New Roman" w:hAnsi="Times New Roman" w:eastAsia="Times New Roman"/>
          <w:b w:val="0"/>
          <w:i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spacing w:line="324" w:lineRule="auto" w:after="120"/>
      </w:pPr>
      <w:r>
        <w:rPr>
          <w:rFonts w:ascii="Times New Roman" w:hAnsi="Times New Roman" w:eastAsia="Times New Roman"/>
          <w:b w:val="0"/>
          <w:i w:val="0"/>
          <w:color w:val="000000"/>
          <w:sz w:val="24"/>
        </w:rPr>
        <w:t>This intended-use boundary is central to how the system should be judged. The system is not a source of regulatory authority. It is a tool for finding candidate evidence inside a defined corpus. A user can have reasonable confidence when the answer is narrow, the citation is specific, and the cited article can be checked. Confidence should decrease when the answer requires current external information, interpretation across several documents, or application to a specific product or submission.</w:t>
      </w:r>
    </w:p>
    <w:p>
      <w:pPr>
        <w:pStyle w:val="Heading2"/>
        <w:spacing w:line="264" w:lineRule="auto" w:after="120"/>
      </w:pPr>
      <w:r>
        <w:rPr>
          <w:rFonts w:ascii="Times New Roman" w:hAnsi="Times New Roman" w:eastAsia="Times New Roman"/>
          <w:b/>
          <w:i w:val="0"/>
          <w:color w:val="000000"/>
          <w:sz w:val="26"/>
        </w:rPr>
        <w:t>Comparison with prior work</w:t>
      </w:r>
    </w:p>
    <w:p>
      <w:pPr>
        <w:spacing w:line="324" w:lineRule="auto" w:after="120"/>
      </w:pPr>
      <w:r>
        <w:rPr>
          <w:rFonts w:ascii="Times New Roman" w:hAnsi="Times New Roman" w:eastAsia="Times New Roman"/>
          <w:b w:val="0"/>
          <w:i w:val="0"/>
          <w:color w:val="000000"/>
          <w:sz w:val="24"/>
        </w:rPr>
        <w:t>The prior TIRS study on generative AI search of FDA guidance documents reported both potential and limitations.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pPr>
        <w:spacing w:line="324" w:lineRule="auto" w:after="120"/>
      </w:pPr>
      <w:r>
        <w:rPr>
          <w:rFonts w:ascii="Times New Roman" w:hAnsi="Times New Roman" w:eastAsia="Times New Roman"/>
          <w:b w:val="0"/>
          <w:i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spacing w:line="324" w:lineRule="auto" w:after="120"/>
      </w:pPr>
      <w:r>
        <w:rPr>
          <w:rFonts w:ascii="Times New Roman" w:hAnsi="Times New Roman" w:eastAsia="Times New Roman"/>
          <w:b w:val="0"/>
          <w:i w:val="0"/>
          <w:color w:val="000000"/>
          <w:sz w:val="24"/>
        </w:rPr>
        <w:t>The table structure follows the practical pattern used in recent regulatory and RAG evaluations: keep corpus scope, evaluation logic, aggregate performance, and compact error examples in the main paper, and move audit-level examples, prompts, and stage histories to supplementary material. This separation is especially important here because automated judging was used. The main tables therefore show what changed and why; the supplementary files provide the checkable audit trail.</w:t>
      </w:r>
    </w:p>
    <w:p>
      <w:pPr>
        <w:spacing w:line="324" w:lineRule="auto" w:after="120"/>
      </w:pPr>
      <w:r>
        <w:rPr>
          <w:rFonts w:ascii="Times New Roman" w:hAnsi="Times New Roman" w:eastAsia="Times New Roman"/>
          <w:b w:val="0"/>
          <w:i w:val="0"/>
          <w:color w:val="000000"/>
          <w:sz w:val="24"/>
        </w:rPr>
        <w:t>It also keeps the reader focused on regulatory consequences rather than implementation detail.</w:t>
      </w:r>
    </w:p>
    <w:p>
      <w:pPr>
        <w:pStyle w:val="Heading2"/>
        <w:spacing w:line="264" w:lineRule="auto" w:after="120"/>
      </w:pPr>
      <w:r>
        <w:rPr>
          <w:rFonts w:ascii="Times New Roman" w:hAnsi="Times New Roman" w:eastAsia="Times New Roman"/>
          <w:b/>
          <w:i w:val="0"/>
          <w:color w:val="000000"/>
          <w:sz w:val="26"/>
        </w:rPr>
        <w:t>Limitations</w:t>
      </w:r>
    </w:p>
    <w:p>
      <w:pPr>
        <w:spacing w:line="324" w:lineRule="auto" w:after="120"/>
      </w:pPr>
      <w:r>
        <w:rPr>
          <w:rFonts w:ascii="Times New Roman" w:hAnsi="Times New Roman" w:eastAsia="Times New Roman"/>
          <w:b w:val="0"/>
          <w:i w:val="0"/>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AI-authored prospective stress test required artifact recovery after output files were moved; preserved settings were used, but this should be reported transparently. Finally, the prototype was tested offline and not in a prospective regulatory-affairs workflow.</w:t>
      </w:r>
    </w:p>
    <w:p>
      <w:pPr>
        <w:pStyle w:val="Heading2"/>
        <w:spacing w:line="264" w:lineRule="auto" w:after="120"/>
      </w:pPr>
      <w:r>
        <w:rPr>
          <w:rFonts w:ascii="Times New Roman" w:hAnsi="Times New Roman" w:eastAsia="Times New Roman"/>
          <w:b/>
          <w:i w:val="0"/>
          <w:color w:val="000000"/>
          <w:sz w:val="26"/>
        </w:rPr>
        <w:t>Future work</w:t>
      </w:r>
    </w:p>
    <w:p>
      <w:pPr>
        <w:spacing w:line="324" w:lineRule="auto" w:after="120"/>
      </w:pPr>
      <w:r>
        <w:rPr>
          <w:rFonts w:ascii="Times New Roman" w:hAnsi="Times New Roman" w:eastAsia="Times New Roman"/>
          <w:b w:val="0"/>
          <w:i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prospective question authoring by users not involved in system development. The corpus should also be expanded and versioned so that users can see whether a question requires current external information rather than static document retrieval.</w:t>
      </w:r>
    </w:p>
    <w:p>
      <w:pPr>
        <w:pStyle w:val="Heading1"/>
        <w:spacing w:line="264" w:lineRule="auto" w:after="120"/>
      </w:pPr>
      <w:r>
        <w:rPr>
          <w:rFonts w:ascii="Times New Roman" w:hAnsi="Times New Roman" w:eastAsia="Times New Roman"/>
          <w:b/>
          <w:i w:val="0"/>
          <w:color w:val="000000"/>
          <w:sz w:val="28"/>
        </w:rPr>
        <w:t>Conclusion</w:t>
      </w:r>
    </w:p>
    <w:p>
      <w:pPr>
        <w:spacing w:line="324" w:lineRule="auto" w:after="120"/>
      </w:pPr>
      <w:r>
        <w:rPr>
          <w:rFonts w:ascii="Times New Roman" w:hAnsi="Times New Roman" w:eastAsia="Times New Roman"/>
          <w:b w:val="0"/>
          <w:i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spacing w:line="264" w:lineRule="auto" w:after="120"/>
      </w:pPr>
      <w:r>
        <w:rPr>
          <w:rFonts w:ascii="Times New Roman" w:hAnsi="Times New Roman" w:eastAsia="Times New Roman"/>
          <w:b/>
          <w:i w:val="0"/>
          <w:color w:val="000000"/>
          <w:sz w:val="28"/>
        </w:rPr>
        <w:t>Funding</w:t>
      </w:r>
    </w:p>
    <w:p>
      <w:pPr>
        <w:spacing w:line="324" w:lineRule="auto" w:after="120"/>
      </w:pPr>
      <w:r>
        <w:rPr>
          <w:rFonts w:ascii="Times New Roman" w:hAnsi="Times New Roman" w:eastAsia="Times New Roman"/>
          <w:b w:val="0"/>
          <w:i w:val="0"/>
          <w:color w:val="000000"/>
          <w:sz w:val="24"/>
        </w:rPr>
        <w:t>The authors received no specific funding for this work.</w:t>
      </w:r>
    </w:p>
    <w:p>
      <w:pPr>
        <w:pStyle w:val="Heading1"/>
        <w:spacing w:line="264" w:lineRule="auto" w:after="120"/>
      </w:pPr>
      <w:r>
        <w:rPr>
          <w:rFonts w:ascii="Times New Roman" w:hAnsi="Times New Roman" w:eastAsia="Times New Roman"/>
          <w:b/>
          <w:i w:val="0"/>
          <w:color w:val="000000"/>
          <w:sz w:val="28"/>
        </w:rPr>
        <w:t>Conflict of Interest</w:t>
      </w:r>
    </w:p>
    <w:p>
      <w:pPr>
        <w:spacing w:line="324" w:lineRule="auto" w:after="120"/>
      </w:pPr>
      <w:r>
        <w:rPr>
          <w:rFonts w:ascii="Times New Roman" w:hAnsi="Times New Roman" w:eastAsia="Times New Roman"/>
          <w:b w:val="0"/>
          <w:i w:val="0"/>
          <w:color w:val="000000"/>
          <w:sz w:val="24"/>
        </w:rPr>
        <w:t>The authors declare no competing financial interests.</w:t>
      </w:r>
    </w:p>
    <w:p>
      <w:pPr>
        <w:pStyle w:val="Heading1"/>
        <w:spacing w:line="264" w:lineRule="auto" w:after="120"/>
      </w:pPr>
      <w:r>
        <w:rPr>
          <w:rFonts w:ascii="Times New Roman" w:hAnsi="Times New Roman" w:eastAsia="Times New Roman"/>
          <w:b/>
          <w:i w:val="0"/>
          <w:color w:val="000000"/>
          <w:sz w:val="28"/>
        </w:rPr>
        <w:t>Author Contributions</w:t>
      </w:r>
    </w:p>
    <w:p>
      <w:pPr>
        <w:spacing w:line="324" w:lineRule="auto" w:after="120"/>
      </w:pPr>
      <w:r>
        <w:rPr>
          <w:rFonts w:ascii="Times New Roman" w:hAnsi="Times New Roman" w:eastAsia="Times New Roman"/>
          <w:b w:val="0"/>
          <w:i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spacing w:line="264" w:lineRule="auto" w:after="120"/>
      </w:pPr>
      <w:r>
        <w:rPr>
          <w:rFonts w:ascii="Times New Roman" w:hAnsi="Times New Roman" w:eastAsia="Times New Roman"/>
          <w:b/>
          <w:i w:val="0"/>
          <w:color w:val="000000"/>
          <w:sz w:val="28"/>
        </w:rPr>
        <w:t>Data Availability</w:t>
      </w:r>
    </w:p>
    <w:p>
      <w:pPr>
        <w:spacing w:line="324" w:lineRule="auto" w:after="120"/>
      </w:pPr>
      <w:r>
        <w:rPr>
          <w:rFonts w:ascii="Times New Roman" w:hAnsi="Times New Roman" w:eastAsia="Times New Roman"/>
          <w:b w:val="0"/>
          <w:i w:val="0"/>
          <w:color w:val="000000"/>
          <w:sz w:val="24"/>
        </w:rPr>
        <w:t>The code, benchmark manifests, generated outputs, prompts, and non-restricted derived artifacts will be made publicly available in a project repository after manuscript acceptance. Files needed for peer review are included as supplementary materials. Full cleaned copies of ANVISA regulatory text are derived from public agency documents; if redistribution of full cleaned text is restricted or unnecessary, the repository will provide official source links, checksums, and cleaning scripts rather than republishing the full source text.</w:t>
      </w:r>
    </w:p>
    <w:p>
      <w:pPr>
        <w:pStyle w:val="Heading1"/>
        <w:spacing w:line="264" w:lineRule="auto" w:after="120"/>
      </w:pPr>
      <w:r>
        <w:rPr>
          <w:rFonts w:ascii="Times New Roman" w:hAnsi="Times New Roman" w:eastAsia="Times New Roman"/>
          <w:b/>
          <w:i w:val="0"/>
          <w:color w:val="000000"/>
          <w:sz w:val="28"/>
        </w:rPr>
        <w:t>Ethics Approval</w:t>
      </w:r>
    </w:p>
    <w:p>
      <w:pPr>
        <w:spacing w:line="324" w:lineRule="auto" w:after="120"/>
      </w:pPr>
      <w:r>
        <w:rPr>
          <w:rFonts w:ascii="Times New Roman" w:hAnsi="Times New Roman" w:eastAsia="Times New Roman"/>
          <w:b w:val="0"/>
          <w:i w:val="0"/>
          <w:color w:val="000000"/>
          <w:sz w:val="24"/>
        </w:rPr>
        <w:t>Ethics approval was not required because the study used public regulatory documents and generated benchmark questions. No human participants, patient data, animal data, or clinical trial data were used.</w:t>
      </w:r>
    </w:p>
    <w:p>
      <w:pPr>
        <w:pStyle w:val="Heading1"/>
        <w:spacing w:line="264" w:lineRule="auto" w:after="120"/>
      </w:pPr>
      <w:r>
        <w:rPr>
          <w:rFonts w:ascii="Times New Roman" w:hAnsi="Times New Roman" w:eastAsia="Times New Roman"/>
          <w:b/>
          <w:i w:val="0"/>
          <w:color w:val="000000"/>
          <w:sz w:val="28"/>
        </w:rPr>
        <w:t>Clinical Trial Registration</w:t>
      </w:r>
    </w:p>
    <w:p>
      <w:pPr>
        <w:spacing w:line="324" w:lineRule="auto" w:after="120"/>
      </w:pPr>
      <w:r>
        <w:rPr>
          <w:rFonts w:ascii="Times New Roman" w:hAnsi="Times New Roman" w:eastAsia="Times New Roman"/>
          <w:b w:val="0"/>
          <w:i w:val="0"/>
          <w:color w:val="000000"/>
          <w:sz w:val="24"/>
        </w:rPr>
        <w:t>Not applicable.</w:t>
      </w:r>
    </w:p>
    <w:p>
      <w:pPr>
        <w:pStyle w:val="Heading1"/>
        <w:spacing w:line="264" w:lineRule="auto" w:after="120"/>
      </w:pPr>
      <w:r>
        <w:rPr>
          <w:rFonts w:ascii="Times New Roman" w:hAnsi="Times New Roman" w:eastAsia="Times New Roman"/>
          <w:b/>
          <w:i w:val="0"/>
          <w:color w:val="000000"/>
          <w:sz w:val="28"/>
        </w:rPr>
        <w:t>References</w:t>
      </w:r>
    </w:p>
    <w:p>
      <w:pPr>
        <w:spacing w:line="324" w:lineRule="auto" w:after="120"/>
      </w:pPr>
      <w:r>
        <w:rPr>
          <w:rFonts w:ascii="Times New Roman" w:hAnsi="Times New Roman" w:eastAsia="Times New Roman"/>
          <w:b w:val="0"/>
          <w:i w:val="0"/>
          <w:color w:val="000000"/>
          <w:sz w:val="24"/>
        </w:rPr>
        <w:t>1. Lewis P, Perez E, Piktus A, et al. Retrieval-Augmented Generation for Knowledge-Intensive NLP Tasks. Advances in Neural Information Processing Systems. 2020;33:9459-9474.</w:t>
      </w:r>
    </w:p>
    <w:p>
      <w:pPr>
        <w:spacing w:line="324" w:lineRule="auto" w:after="120"/>
      </w:pPr>
      <w:r>
        <w:rPr>
          <w:rFonts w:ascii="Times New Roman" w:hAnsi="Times New Roman" w:eastAsia="Times New Roman"/>
          <w:b w:val="0"/>
          <w:i w:val="0"/>
          <w:color w:val="000000"/>
          <w:sz w:val="24"/>
        </w:rPr>
        <w:t>2. Proestel S, Jeng LJB, Smith C, et al. Semantic Search of FDA Guidance Documents Using Generative AI. Ther Innov Regul Sci. 2025;59:1148-1159. doi:10.1007/s43441-025-00798-8.</w:t>
      </w:r>
    </w:p>
    <w:p>
      <w:pPr>
        <w:spacing w:line="324" w:lineRule="auto" w:after="120"/>
      </w:pPr>
      <w:r>
        <w:rPr>
          <w:rFonts w:ascii="Times New Roman" w:hAnsi="Times New Roman" w:eastAsia="Times New Roman"/>
          <w:b w:val="0"/>
          <w:i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spacing w:line="324" w:lineRule="auto" w:after="120"/>
      </w:pPr>
      <w:r>
        <w:rPr>
          <w:rFonts w:ascii="Times New Roman" w:hAnsi="Times New Roman" w:eastAsia="Times New Roman"/>
          <w:b w:val="0"/>
          <w:i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spacing w:line="324" w:lineRule="auto" w:after="120"/>
      </w:pPr>
      <w:r>
        <w:rPr>
          <w:rFonts w:ascii="Times New Roman" w:hAnsi="Times New Roman" w:eastAsia="Times New Roman"/>
          <w:b w:val="0"/>
          <w:i w:val="0"/>
          <w:color w:val="000000"/>
          <w:sz w:val="24"/>
        </w:rPr>
        <w:t>5. Agencia Nacional de Vigilancia Sanitaria. Resolucao - RDC No. 55, de 16 de dezembro de 2010. Registration of new biological products and biological products. AnvisaLegis. Accessed 19 July 2026.</w:t>
      </w:r>
    </w:p>
    <w:p>
      <w:pPr>
        <w:spacing w:line="324" w:lineRule="auto" w:after="120"/>
      </w:pPr>
      <w:r>
        <w:rPr>
          <w:rFonts w:ascii="Times New Roman" w:hAnsi="Times New Roman" w:eastAsia="Times New Roman"/>
          <w:b w:val="0"/>
          <w:i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spacing w:line="324" w:lineRule="auto" w:after="120"/>
      </w:pPr>
      <w:r>
        <w:rPr>
          <w:rFonts w:ascii="Times New Roman" w:hAnsi="Times New Roman" w:eastAsia="Times New Roman"/>
          <w:b w:val="0"/>
          <w:i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spacing w:line="324" w:lineRule="auto" w:after="120"/>
      </w:pPr>
      <w:r>
        <w:rPr>
          <w:rFonts w:ascii="Times New Roman" w:hAnsi="Times New Roman" w:eastAsia="Times New Roman"/>
          <w:b w:val="0"/>
          <w:i w:val="0"/>
          <w:color w:val="000000"/>
          <w:sz w:val="24"/>
        </w:rPr>
        <w:t>8. Agencia Nacional de Vigilancia Sanitaria. Resolucao RDC No. 9, de 20 de fevereiro de 2015. Regulation for clinical trials with medicines in Brazil. AnvisaLegis. Accessed 19 July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