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76" w:lineRule="auto" w:after="120"/>
        <w:jc w:val="center"/>
      </w:pPr>
      <w:r>
        <w:rPr>
          <w:rFonts w:ascii="Times New Roman" w:hAnsi="Times New Roman" w:eastAsia="Times New Roman"/>
          <w:b/>
          <w:color w:val="000000"/>
          <w:sz w:val="26"/>
        </w:rPr>
        <w:t>Bilingual Retrieval-Augmented Access to ANVISA Regulatory Documents: A Technical Evaluation Using Drug-Development and Health-Product Questions</w:t>
      </w:r>
    </w:p>
    <w:p>
      <w:pPr>
        <w:spacing w:line="360" w:lineRule="auto" w:after="120"/>
      </w:pPr>
      <w:r>
        <w:rPr>
          <w:rFonts w:ascii="Times New Roman" w:hAnsi="Times New Roman" w:eastAsia="Times New Roman"/>
          <w:b w:val="0"/>
          <w:color w:val="000000"/>
          <w:sz w:val="24"/>
        </w:rPr>
        <w:t>Authors: Carlos Victor Montefusco-Pereira1*, Howard Lopes Ribeiro Junior2</w:t>
      </w:r>
    </w:p>
    <w:p>
      <w:pPr>
        <w:spacing w:line="360" w:lineRule="auto" w:after="120"/>
      </w:pPr>
      <w:r>
        <w:rPr>
          <w:rFonts w:ascii="Times New Roman" w:hAnsi="Times New Roman" w:eastAsia="Times New Roman"/>
          <w:b w:val="0"/>
          <w:color w:val="000000"/>
          <w:sz w:val="24"/>
        </w:rPr>
        <w:t>1 Independent Researcher in Data Science and Artificial Intelligence in Industrial Pharmaceutics, Berlin, Germany</w:t>
      </w:r>
    </w:p>
    <w:p>
      <w:pPr>
        <w:spacing w:line="360" w:lineRule="auto" w:after="120"/>
      </w:pPr>
      <w:r>
        <w:rPr>
          <w:rFonts w:ascii="Times New Roman" w:hAnsi="Times New Roman" w:eastAsia="Times New Roman"/>
          <w:b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line="360" w:lineRule="auto" w:after="120"/>
      </w:pPr>
      <w:r>
        <w:rPr>
          <w:rFonts w:ascii="Times New Roman" w:hAnsi="Times New Roman" w:eastAsia="Times New Roman"/>
          <w:b w:val="0"/>
          <w:color w:val="000000"/>
          <w:sz w:val="24"/>
        </w:rPr>
        <w:t>ORCID: Carlos Victor Montefusco-Pereira, 0000-0003-4167-4653; Howard Lopes Ribeiro Junior, 0000-0003-2431-4779</w:t>
      </w:r>
    </w:p>
    <w:p>
      <w:pPr>
        <w:spacing w:line="360" w:lineRule="auto" w:after="120"/>
      </w:pPr>
      <w:r>
        <w:rPr>
          <w:rFonts w:ascii="Times New Roman" w:hAnsi="Times New Roman" w:eastAsia="Times New Roman"/>
          <w:b w:val="0"/>
          <w:color w:val="000000"/>
          <w:sz w:val="24"/>
        </w:rPr>
        <w:t>Corresponding author: Carlos Victor Montefusco-Pereira. Friedrich-Wilhelm 28, 12103 Berlin, Germany. Email: cmontefusco@gmail.com. Phone: +49 15168108538.</w:t>
      </w:r>
    </w:p>
    <w:p>
      <w:pPr>
        <w:spacing w:line="360" w:lineRule="auto" w:after="120"/>
      </w:pPr>
      <w:r>
        <w:rPr>
          <w:rFonts w:ascii="Times New Roman" w:hAnsi="Times New Roman" w:eastAsia="Times New Roman"/>
          <w:b w:val="0"/>
          <w:color w:val="000000"/>
          <w:sz w:val="24"/>
        </w:rPr>
        <w:t>Keywords: regulatory science; ANVISA; retrieval-augmented generation; clinical trials; pharmacovigilance; biological products and medical devices</w:t>
      </w:r>
    </w:p>
    <w:p>
      <w:pPr>
        <w:spacing w:line="360" w:lineRule="auto" w:after="120"/>
      </w:pPr>
      <w:r>
        <w:rPr>
          <w:rFonts w:ascii="Times New Roman" w:hAnsi="Times New Roman" w:eastAsia="Times New Roman"/>
          <w:b w:val="0"/>
          <w:color w:val="000000"/>
          <w:sz w:val="24"/>
        </w:rPr>
        <w:t>Abbreviations: ANVISA, Agencia Nacional de Vigilancia Sanitaria;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spacing w:line="276" w:lineRule="auto" w:after="120"/>
      </w:pPr>
      <w:r>
        <w:rPr>
          <w:rFonts w:ascii="Times New Roman" w:hAnsi="Times New Roman" w:eastAsia="Times New Roman"/>
          <w:b/>
          <w:color w:val="000000"/>
          <w:sz w:val="26"/>
        </w:rPr>
        <w:t>Abstract</w:t>
      </w:r>
    </w:p>
    <w:p>
      <w:pPr>
        <w:spacing w:line="360" w:lineRule="auto" w:after="120"/>
      </w:pPr>
      <w:r>
        <w:rPr>
          <w:rFonts w:ascii="Times New Roman" w:hAnsi="Times New Roman" w:eastAsia="Times New Roman"/>
          <w:b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pPr>
        <w:spacing w:line="360" w:lineRule="auto" w:after="120"/>
      </w:pPr>
      <w:r>
        <w:rPr>
          <w:rFonts w:ascii="Times New Roman" w:hAnsi="Times New Roman" w:eastAsia="Times New Roman"/>
          <w:b w:val="0"/>
          <w:color w:val="000000"/>
          <w:sz w:val="24"/>
        </w:rPr>
        <w:t>Objective. To evaluate whether a bilingual retrieval-augmented generation prototype could locate, cite, and summarize selected ANVISA regulatory requirements relevant to drug development and health-product regulation.</w:t>
      </w:r>
    </w:p>
    <w:p>
      <w:pPr>
        <w:spacing w:line="360" w:lineRule="auto" w:after="120"/>
      </w:pPr>
      <w:r>
        <w:rPr>
          <w:rFonts w:ascii="Times New Roman" w:hAnsi="Times New Roman" w:eastAsia="Times New Roman"/>
          <w:b w:val="0"/>
          <w:color w:val="000000"/>
          <w:sz w:val="24"/>
        </w:rPr>
        <w:t>Methods. Six ANVISA regulatory documents were cleaned and indexed as an article-level closed corpus. The system was implemented in 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 An automated AI judge scored faithfulness, citation correctness, completeness, and refusal correctness on a 0 to 1 scale.</w:t>
      </w:r>
    </w:p>
    <w:p>
      <w:pPr>
        <w:spacing w:line="360" w:lineRule="auto" w:after="120"/>
      </w:pPr>
      <w:r>
        <w:rPr>
          <w:rFonts w:ascii="Times New Roman" w:hAnsi="Times New Roman" w:eastAsia="Times New Roman"/>
          <w:b w:val="0"/>
          <w:color w:val="000000"/>
          <w:sz w:val="24"/>
        </w:rPr>
        <w:t>Results. The final article-aware index contained 382 detected regulatory articles and 481 chunks. In the first AI-authored prospective stress test, answerable questions had source hit 1.000, source MRR 0.988, normalized article Recall@5 0.967, normalized article MRR@5 0.913, citation correctness 0.975, faithfulness 1.000, and completeness 0.943. Refusal correctness for unanswerable/adversarial questions was lower at 0.700. After refusal calibration using separate development data, a refusal-focused AI-authored test reached refusal correctness 0.944, with faithfulness 1.000, citation correctness 1.000, and completeness 0.908 on answerable controls.</w:t>
      </w:r>
    </w:p>
    <w:p>
      <w:pPr>
        <w:spacing w:line="360" w:lineRule="auto" w:after="120"/>
      </w:pPr>
      <w:r>
        <w:rPr>
          <w:rFonts w:ascii="Times New Roman" w:hAnsi="Times New Roman" w:eastAsia="Times New Roman"/>
          <w:b w:val="0"/>
          <w:color w:val="000000"/>
          <w:sz w:val="24"/>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spacing w:line="276" w:lineRule="auto" w:after="120"/>
      </w:pPr>
      <w:r>
        <w:rPr>
          <w:rFonts w:ascii="Times New Roman" w:hAnsi="Times New Roman" w:eastAsia="Times New Roman"/>
          <w:b/>
          <w:color w:val="000000"/>
          <w:sz w:val="26"/>
        </w:rPr>
        <w:t>Introduction</w:t>
      </w:r>
    </w:p>
    <w:p>
      <w:pPr>
        <w:spacing w:line="360" w:lineRule="auto" w:after="120"/>
      </w:pPr>
      <w:r>
        <w:rPr>
          <w:rFonts w:ascii="Times New Roman" w:hAnsi="Times New Roman" w:eastAsia="Times New Roman"/>
          <w:b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p>
    <w:p>
      <w:pPr>
        <w:spacing w:line="360" w:lineRule="auto" w:after="120"/>
      </w:pPr>
      <w:r>
        <w:rPr>
          <w:rFonts w:ascii="Times New Roman" w:hAnsi="Times New Roman" w:eastAsia="Times New Roman"/>
          <w:b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line="360" w:lineRule="auto" w:after="120"/>
      </w:pPr>
      <w:r>
        <w:rPr>
          <w:rFonts w:ascii="Times New Roman" w:hAnsi="Times New Roman" w:eastAsia="Times New Roman"/>
          <w:b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line="360" w:lineRule="auto" w:after="120"/>
      </w:pPr>
      <w:r>
        <w:rPr>
          <w:rFonts w:ascii="Times New Roman" w:hAnsi="Times New Roman" w:eastAsia="Times New Roman"/>
          <w:b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line="360" w:lineRule="auto" w:after="120"/>
      </w:pPr>
      <w:r>
        <w:rPr>
          <w:rFonts w:ascii="Times New Roman" w:hAnsi="Times New Roman" w:eastAsia="Times New Roman"/>
          <w:b w:val="0"/>
          <w:color w:val="000000"/>
          <w:sz w:val="24"/>
        </w:rPr>
        <w:t>The manuscript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spacing w:line="276" w:lineRule="auto" w:after="120"/>
      </w:pPr>
      <w:r>
        <w:rPr>
          <w:rFonts w:ascii="Times New Roman" w:hAnsi="Times New Roman" w:eastAsia="Times New Roman"/>
          <w:b/>
          <w:color w:val="000000"/>
          <w:sz w:val="26"/>
        </w:rPr>
        <w:t>Materials and Methods</w:t>
      </w:r>
    </w:p>
    <w:p>
      <w:pPr>
        <w:pStyle w:val="Heading2"/>
        <w:spacing w:line="276" w:lineRule="auto" w:after="120"/>
      </w:pPr>
      <w:r>
        <w:rPr>
          <w:rFonts w:ascii="Times New Roman" w:hAnsi="Times New Roman" w:eastAsia="Times New Roman"/>
          <w:b/>
          <w:color w:val="000000"/>
          <w:sz w:val="26"/>
        </w:rPr>
        <w:t>Study design</w:t>
      </w:r>
    </w:p>
    <w:p>
      <w:pPr>
        <w:spacing w:line="360" w:lineRule="auto" w:after="120"/>
      </w:pPr>
      <w:r>
        <w:rPr>
          <w:rFonts w:ascii="Times New Roman" w:hAnsi="Times New Roman" w:eastAsia="Times New Roman"/>
          <w:b w:val="0"/>
          <w:color w:val="000000"/>
          <w:sz w:val="24"/>
        </w:rPr>
        <w:t>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spacing w:line="360" w:lineRule="auto" w:after="120"/>
      </w:pPr>
      <w:r>
        <w:rPr>
          <w:rFonts w:ascii="Times New Roman" w:hAnsi="Times New Roman" w:eastAsia="Times New Roman"/>
          <w:b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held-out runs, the first AI-authored prospective stress test, and a later refusal-focused AI-authored test. This separation is important because internal scores can be inflated when the same project team writes questions, reviews errors, and repairs the system.</w:t>
      </w:r>
    </w:p>
    <w:p>
      <w:pPr>
        <w:pStyle w:val="Heading2"/>
        <w:spacing w:line="276" w:lineRule="auto" w:after="120"/>
      </w:pPr>
      <w:r>
        <w:rPr>
          <w:rFonts w:ascii="Times New Roman" w:hAnsi="Times New Roman" w:eastAsia="Times New Roman"/>
          <w:b/>
          <w:color w:val="000000"/>
          <w:sz w:val="26"/>
        </w:rPr>
        <w:t>Regulatory corpus</w:t>
      </w:r>
    </w:p>
    <w:p>
      <w:pPr>
        <w:spacing w:line="360" w:lineRule="auto" w:after="120"/>
      </w:pPr>
      <w:r>
        <w:rPr>
          <w:rFonts w:ascii="Times New Roman" w:hAnsi="Times New Roman" w:eastAsia="Times New Roman"/>
          <w:b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 The final corpus included IN 338/2024, RDC 406/2020, RDC 55/2010, RDC 751/2022, RDC 945/2024, and RDC 9/2015. Corpus composition and use cases are summarized in Table 1.</w:t>
      </w:r>
    </w:p>
    <w:p>
      <w:pPr>
        <w:spacing w:line="360" w:lineRule="auto" w:after="120"/>
      </w:pPr>
      <w:r>
        <w:rPr>
          <w:rFonts w:ascii="Times New Roman" w:hAnsi="Times New Roman" w:eastAsia="Times New Roman"/>
          <w:b w:val="0"/>
          <w:color w:val="000000"/>
          <w:sz w:val="24"/>
        </w:rP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p>
    <w:p>
      <w:pPr>
        <w:pStyle w:val="Heading2"/>
        <w:spacing w:line="276" w:lineRule="auto" w:after="120"/>
      </w:pPr>
      <w:r>
        <w:rPr>
          <w:rFonts w:ascii="Times New Roman" w:hAnsi="Times New Roman" w:eastAsia="Times New Roman"/>
          <w:b/>
          <w:color w:val="000000"/>
          <w:sz w:val="26"/>
        </w:rPr>
        <w:t>Software and implementation</w:t>
      </w:r>
    </w:p>
    <w:p>
      <w:pPr>
        <w:spacing w:line="360" w:lineRule="auto" w:after="120"/>
      </w:pPr>
      <w:r>
        <w:rPr>
          <w:rFonts w:ascii="Times New Roman" w:hAnsi="Times New Roman" w:eastAsia="Times New Roman"/>
          <w:b w:val="0"/>
          <w:color w:val="000000"/>
          <w:sz w:val="24"/>
        </w:rPr>
        <w:t>The prototype and evaluation scripts were implemented in Python 3.10. The environment file specified numpy 1.26, python-dotenv, PyTorch, sentence-transformers, ragas, Streamlit, LlamaIndex, llama-index-core, llama-index-embeddings-huggingface, llama-index-llms-google-genai, and rank-bm25 0.2.2. The user-facing application was a Streamlit app. Indexing and evaluation were run from Python scripts in the project repository. The main implementation files were src/article_chunking.py, src/retrieval.py, src/prompts.py, src/engine.py, evaluation/publication_eval.py, evaluation/answer_quality.py, and evaluation/evaluation_statistics.py.</w:t>
      </w:r>
    </w:p>
    <w:p>
      <w:pPr>
        <w:spacing w:line="360" w:lineRule="auto" w:after="120"/>
      </w:pPr>
      <w:r>
        <w:rPr>
          <w:rFonts w:ascii="Times New Roman" w:hAnsi="Times New Roman" w:eastAsia="Times New Roman"/>
          <w:b w:val="0"/>
          <w:color w:val="000000"/>
          <w:sz w:val="24"/>
        </w:rPr>
        <w:t>The software implementation 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The local recovered ancestor of the ANVISA project is /Users/cmontefusco/Coding_projects/Rag_project; the original /Users/cmontefusco/Documents/DSAI2/Rag_project path is no longer present. A detailed decision trace is provided in Supplementary Table S5.</w:t>
      </w:r>
    </w:p>
    <w:p>
      <w:pPr>
        <w:spacing w:line="360" w:lineRule="auto" w:after="120"/>
      </w:pPr>
      <w:r>
        <w:rPr>
          <w:rFonts w:ascii="Times New Roman" w:hAnsi="Times New Roman" w:eastAsia="Times New Roman"/>
          <w:b w:val="0"/>
          <w:color w:val="000000"/>
          <w:sz w:val="24"/>
        </w:rPr>
        <w:t>The answer-generation model and the AI-judge model were both models/gemini-flash-lite-latest. The embedding model was sentence-transformers/all-MiniLM-L6-v2. The reranker was cross-encoder/mmarco-mMiniLMv2-L12-H384-v1. The local reproducibility package records the cache snapshot paths used during development, but model names rather than cache paths are the primary reproducibility identifiers because local paths are machine-specific.</w:t>
      </w:r>
    </w:p>
    <w:p>
      <w:pPr>
        <w:pStyle w:val="Heading2"/>
        <w:spacing w:line="276" w:lineRule="auto" w:after="120"/>
      </w:pPr>
      <w:r>
        <w:rPr>
          <w:rFonts w:ascii="Times New Roman" w:hAnsi="Times New Roman" w:eastAsia="Times New Roman"/>
          <w:b/>
          <w:color w:val="000000"/>
          <w:sz w:val="26"/>
        </w:rPr>
        <w:t>Corpus cleaning and article-aware chunking</w:t>
      </w:r>
    </w:p>
    <w:p>
      <w:pPr>
        <w:spacing w:line="360" w:lineRule="auto" w:after="120"/>
      </w:pPr>
      <w:r>
        <w:rPr>
          <w:rFonts w:ascii="Times New Roman" w:hAnsi="Times New Roman" w:eastAsia="Times New Roman"/>
          <w:b w:val="0"/>
          <w:color w:val="000000"/>
          <w:sz w:val="24"/>
        </w:rPr>
        <w:t>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spacing w:line="360" w:lineRule="auto" w:after="120"/>
      </w:pPr>
      <w:r>
        <w:rPr>
          <w:rFonts w:ascii="Times New Roman" w:hAnsi="Times New Roman" w:eastAsia="Times New Roman"/>
          <w:b w:val="0"/>
          <w:color w:val="000000"/>
          <w:sz w:val="24"/>
        </w:rPr>
        <w:t>Article chunking used a single-article maximum of 500 tokens. Longer articles were split into 400-token chunks with 60-token overlap. Embedding maximum length was 512 tokens. The final index audit recorded six source documents, 382 detected articles, 481 total chunks, 359 articles represented by a single chunk, and 23 long articles split into multiple chunks. Median chunk length was 155 tokens, maximum chunk length was 503 tokens, and no chunk exceeded 700 tokens. The closed-corpus workflow and index audit are shown in Figure 1.</w:t>
      </w:r>
    </w:p>
    <w:p>
      <w:pPr>
        <w:pStyle w:val="Heading2"/>
        <w:spacing w:line="276" w:lineRule="auto" w:after="120"/>
      </w:pPr>
      <w:r>
        <w:rPr>
          <w:rFonts w:ascii="Times New Roman" w:hAnsi="Times New Roman" w:eastAsia="Times New Roman"/>
          <w:b/>
          <w:color w:val="000000"/>
          <w:sz w:val="26"/>
        </w:rPr>
        <w:t>Retrieval, reranking, and answer generation</w:t>
      </w:r>
    </w:p>
    <w:p>
      <w:pPr>
        <w:spacing w:line="360" w:lineRule="auto" w:after="120"/>
      </w:pPr>
      <w:r>
        <w:rPr>
          <w:rFonts w:ascii="Times New Roman" w:hAnsi="Times New Roman" w:eastAsia="Times New Roman"/>
          <w:b w:val="0"/>
          <w:color w:val="000000"/>
          <w:sz w:val="24"/>
        </w:rPr>
        <w:t>Retrieval combined dense vector search and keyword search. Dense retrieval used the sentence-transformers embedding model. Keyword retrieval used BM25 over normalized text created from chunk content and metadata fields, including regulation identifier, document aliases, title, citation label, chapter, section, and topic tags. Normalization removed accents, lowercased text, and extracted alphanumeric tokens.</w:t>
      </w:r>
    </w:p>
    <w:p>
      <w:pPr>
        <w:spacing w:line="360" w:lineRule="auto" w:after="120"/>
      </w:pPr>
      <w:r>
        <w:rPr>
          <w:rFonts w:ascii="Times New Roman" w:hAnsi="Times New Roman" w:eastAsia="Times New Roman"/>
          <w:b w:val="0"/>
          <w:color w:val="000000"/>
          <w:sz w:val="24"/>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The final answer context contained the top 5 reranked passages.</w:t>
      </w:r>
    </w:p>
    <w:p>
      <w:pPr>
        <w:spacing w:line="360" w:lineRule="auto" w:after="120"/>
      </w:pPr>
      <w:r>
        <w:rPr>
          <w:rFonts w:ascii="Times New Roman" w:hAnsi="Times New Roman" w:eastAsia="Times New Roman"/>
          <w:b w:val="0"/>
          <w:color w:val="000000"/>
          <w:sz w:val="24"/>
        </w:rPr>
        <w:t>English questions were answered in English, but retrieval was allowed to include conservative Portuguese anchors because the source documents were in Portuguese. Anchors included clinical trial/ensaio clinico, sponsor/patrocinador, biological product/produto biologico, medical device/dispositivo medico, stability study/estudo de estabilidade, and pharmacovigilance/farmacovigilancia. The original question remained visible to the answer model. These anchors were retrieval aids only; they did not add facts to the answer.</w:t>
      </w:r>
    </w:p>
    <w:p>
      <w:pPr>
        <w:spacing w:line="360" w:lineRule="auto" w:after="120"/>
      </w:pPr>
      <w:r>
        <w:rPr>
          <w:rFonts w:ascii="Times New Roman" w:hAnsi="Times New Roman" w:eastAsia="Times New Roman"/>
          <w:b w:val="0"/>
          <w:color w:val="000000"/>
          <w:sz w:val="24"/>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w:t>
      </w:r>
    </w:p>
    <w:p>
      <w:pPr>
        <w:pStyle w:val="Heading2"/>
        <w:spacing w:line="276" w:lineRule="auto" w:after="120"/>
      </w:pPr>
      <w:r>
        <w:rPr>
          <w:rFonts w:ascii="Times New Roman" w:hAnsi="Times New Roman" w:eastAsia="Times New Roman"/>
          <w:b/>
          <w:color w:val="000000"/>
          <w:sz w:val="26"/>
        </w:rPr>
        <w:t>Benchmark</w:t>
      </w:r>
    </w:p>
    <w:p>
      <w:pPr>
        <w:spacing w:line="360" w:lineRule="auto" w:after="120"/>
      </w:pPr>
      <w:r>
        <w:rPr>
          <w:rFonts w:ascii="Times New Roman" w:hAnsi="Times New Roman" w:eastAsia="Times New Roman"/>
          <w:b w:val="0"/>
          <w:color w:val="000000"/>
          <w:sz w:val="24"/>
        </w:rPr>
        <w:t>The main benchmark contained 200 bilingual questions: 70 Portuguese answerable questions, 70 English answerable questions, 20 multi-article or exception questions, and 40 unanswerable or adversarial questions. The benchmark had 100 Portuguese rows and 100 English rows organized as bilingual pairs. The audit recorded 78 unique gold article citations. Benchmark structure and gold source coverage are shown in Figure 2.</w:t>
      </w:r>
    </w:p>
    <w:p>
      <w:pPr>
        <w:spacing w:line="360" w:lineRule="auto" w:after="120"/>
      </w:pPr>
      <w:r>
        <w:rPr>
          <w:rFonts w:ascii="Times New Roman" w:hAnsi="Times New Roman" w:eastAsia="Times New Roman"/>
          <w:b w:val="0"/>
          <w:color w:val="000000"/>
          <w:sz w:val="24"/>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pStyle w:val="Heading2"/>
        <w:spacing w:line="276" w:lineRule="auto" w:after="120"/>
      </w:pPr>
      <w:r>
        <w:rPr>
          <w:rFonts w:ascii="Times New Roman" w:hAnsi="Times New Roman" w:eastAsia="Times New Roman"/>
          <w:b/>
          <w:color w:val="000000"/>
          <w:sz w:val="26"/>
        </w:rPr>
        <w:t>Automated AI judge and scoring rules</w:t>
      </w:r>
    </w:p>
    <w:p>
      <w:pPr>
        <w:spacing w:line="360" w:lineRule="auto" w:after="120"/>
      </w:pPr>
      <w:r>
        <w:rPr>
          <w:rFonts w:ascii="Times New Roman" w:hAnsi="Times New Roman" w:eastAsia="Times New Roman"/>
          <w:b w:val="0"/>
          <w:color w:val="000000"/>
          <w:sz w:val="24"/>
        </w:rPr>
        <w:t>Automated judging was used because an independent two-expert panel was not available. This limits the claim level. The automated judge was used as a structured technical scoring tool, not as an independent regulatory expert. The judge received the question, system answer, expected answer, answerability flag, and retrieved evidence. It returned JSON scores from 0 to 1 for four dimensions: faithfulness, citation correctness, completeness, and refusal correctness.</w:t>
      </w:r>
    </w:p>
    <w:p>
      <w:pPr>
        <w:spacing w:line="360" w:lineRule="auto" w:after="120"/>
      </w:pPr>
      <w:r>
        <w:rPr>
          <w:rFonts w:ascii="Times New Roman" w:hAnsi="Times New Roman" w:eastAsia="Times New Roman"/>
          <w:b w:val="0"/>
          <w:color w:val="000000"/>
          <w:sz w:val="24"/>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spacing w:line="360" w:lineRule="auto" w:after="120"/>
      </w:pPr>
      <w:r>
        <w:rPr>
          <w:rFonts w:ascii="Times New Roman" w:hAnsi="Times New Roman" w:eastAsia="Times New Roman"/>
          <w:b w:val="0"/>
          <w:color w:val="000000"/>
          <w:sz w:val="24"/>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w:t>
      </w:r>
    </w:p>
    <w:p>
      <w:pPr>
        <w:pStyle w:val="Heading2"/>
        <w:spacing w:line="276" w:lineRule="auto" w:after="120"/>
      </w:pPr>
      <w:r>
        <w:rPr>
          <w:rFonts w:ascii="Times New Roman" w:hAnsi="Times New Roman" w:eastAsia="Times New Roman"/>
          <w:b/>
          <w:color w:val="000000"/>
          <w:sz w:val="26"/>
        </w:rPr>
        <w:t>Evaluation stages and leakage control</w:t>
      </w:r>
    </w:p>
    <w:p>
      <w:pPr>
        <w:spacing w:line="360" w:lineRule="auto" w:after="120"/>
      </w:pPr>
      <w:r>
        <w:rPr>
          <w:rFonts w:ascii="Times New Roman" w:hAnsi="Times New Roman" w:eastAsia="Times New Roman"/>
          <w:b w:val="0"/>
          <w:color w:val="000000"/>
          <w:sz w:val="24"/>
        </w:rPr>
        <w:t>Development runs were used to identify and repair failures. Internal held-out runs were used to check the repaired system on the curated benchmark. When internal results became high, an AI-authored prospective stress test was run once to test whether the internal pattern generalized. That first AI-authored prospective stress test was treated as diagnostic prospective evidence and was not used directly for tuning. After it identified refusal calibration as the main weakness, refusal rules were adjusted using a separate development set. A second refusal-focused AI-authored test was then used to evaluate the repair.</w:t>
      </w:r>
    </w:p>
    <w:p>
      <w:pPr>
        <w:spacing w:line="360" w:lineRule="auto" w:after="120"/>
      </w:pPr>
      <w:r>
        <w:rPr>
          <w:rFonts w:ascii="Times New Roman" w:hAnsi="Times New Roman" w:eastAsia="Times New Roman"/>
          <w:b w:val="0"/>
          <w:color w:val="000000"/>
          <w:sz w:val="24"/>
        </w:rPr>
        <w:t>The first AI-authored prospective stress test contained 50 questions organized as 25 bilingual pairs. It included 40 answerable questions and 10 unanswerable or adversarial questions. The first AI-authored prospective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pStyle w:val="Heading2"/>
        <w:spacing w:line="276" w:lineRule="auto" w:after="120"/>
      </w:pPr>
      <w:r>
        <w:rPr>
          <w:rFonts w:ascii="Times New Roman" w:hAnsi="Times New Roman" w:eastAsia="Times New Roman"/>
          <w:b/>
          <w:color w:val="000000"/>
          <w:sz w:val="26"/>
        </w:rPr>
        <w:t>Statistical handling and audit trail</w:t>
      </w:r>
    </w:p>
    <w:p>
      <w:pPr>
        <w:spacing w:line="360" w:lineRule="auto" w:after="120"/>
      </w:pPr>
      <w:r>
        <w:rPr>
          <w:rFonts w:ascii="Times New Roman" w:hAnsi="Times New Roman" w:eastAsia="Times New Roman"/>
          <w:b w:val="0"/>
          <w:color w:val="000000"/>
          <w:sz w:val="24"/>
        </w:rPr>
        <w:t>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p>
    <w:p>
      <w:pPr>
        <w:spacing w:line="360" w:lineRule="auto" w:after="120"/>
      </w:pPr>
      <w:r>
        <w:rPr>
          <w:rFonts w:ascii="Times New Roman" w:hAnsi="Times New Roman" w:eastAsia="Times New Roman"/>
          <w:b w:val="0"/>
          <w:color w:val="000000"/>
          <w:sz w:val="24"/>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pStyle w:val="Heading1"/>
        <w:spacing w:line="276" w:lineRule="auto" w:after="120"/>
      </w:pPr>
      <w:r>
        <w:rPr>
          <w:rFonts w:ascii="Times New Roman" w:hAnsi="Times New Roman" w:eastAsia="Times New Roman"/>
          <w:b/>
          <w:color w:val="000000"/>
          <w:sz w:val="26"/>
        </w:rPr>
        <w:t>Results</w:t>
      </w:r>
    </w:p>
    <w:p>
      <w:pPr>
        <w:pStyle w:val="Heading2"/>
        <w:spacing w:line="276" w:lineRule="auto" w:after="120"/>
      </w:pPr>
      <w:r>
        <w:rPr>
          <w:rFonts w:ascii="Times New Roman" w:hAnsi="Times New Roman" w:eastAsia="Times New Roman"/>
          <w:b/>
          <w:color w:val="000000"/>
          <w:sz w:val="26"/>
        </w:rPr>
        <w:t>Corpus and benchmark construction</w:t>
      </w:r>
    </w:p>
    <w:p>
      <w:pPr>
        <w:spacing w:line="360" w:lineRule="auto" w:after="120"/>
      </w:pPr>
      <w:r>
        <w:rPr>
          <w:rFonts w:ascii="Times New Roman" w:hAnsi="Times New Roman" w:eastAsia="Times New Roman"/>
          <w:b w:val="0"/>
          <w:color w:val="000000"/>
          <w:sz w:val="24"/>
        </w:rP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p>
    <w:p>
      <w:pPr>
        <w:spacing w:line="360" w:lineRule="auto" w:after="120"/>
      </w:pPr>
      <w:r>
        <w:rPr>
          <w:rFonts w:ascii="Times New Roman" w:hAnsi="Times New Roman" w:eastAsia="Times New Roman"/>
          <w:b w:val="0"/>
          <w:color w:val="000000"/>
          <w:sz w:val="24"/>
        </w:rPr>
        <w:t>The 200-question benchmark was balanced by language and included the intended mix of regulatory question types (Figure 2). Gold evidence covered 78 unique article citations. The source coverage was distributed across the six regulations, including clinical-trial, pharmacovigilance, biological-product, medical-device, and reliance questions. This structure was important because high performance on direct clinical-trial questions alone would not show whether the system handled rule-plus-exception or refusal boundaries.</w:t>
      </w:r>
    </w:p>
    <w:p>
      <w:pPr>
        <w:pStyle w:val="Heading2"/>
        <w:spacing w:line="276" w:lineRule="auto" w:after="120"/>
      </w:pPr>
      <w:r>
        <w:rPr>
          <w:rFonts w:ascii="Times New Roman" w:hAnsi="Times New Roman" w:eastAsia="Times New Roman"/>
          <w:b/>
          <w:color w:val="000000"/>
          <w:sz w:val="26"/>
        </w:rPr>
        <w:t>Direct article questions</w:t>
      </w:r>
    </w:p>
    <w:p>
      <w:pPr>
        <w:spacing w:line="360" w:lineRule="auto" w:after="120"/>
      </w:pPr>
      <w:r>
        <w:rPr>
          <w:rFonts w:ascii="Times New Roman" w:hAnsi="Times New Roman" w:eastAsia="Times New Roman"/>
          <w:b w:val="0"/>
          <w:color w:val="000000"/>
          <w:sz w:val="24"/>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spacing w:line="360" w:lineRule="auto" w:after="120"/>
      </w:pPr>
      <w:r>
        <w:rPr>
          <w:rFonts w:ascii="Times New Roman" w:hAnsi="Times New Roman" w:eastAsia="Times New Roman"/>
          <w:b w:val="0"/>
          <w:color w:val="000000"/>
          <w:sz w:val="24"/>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spacing w:line="276" w:lineRule="auto" w:after="120"/>
      </w:pPr>
      <w:r>
        <w:rPr>
          <w:rFonts w:ascii="Times New Roman" w:hAnsi="Times New Roman" w:eastAsia="Times New Roman"/>
          <w:b/>
          <w:color w:val="000000"/>
          <w:sz w:val="26"/>
        </w:rPr>
        <w:t>Internal development metrics</w:t>
      </w:r>
    </w:p>
    <w:p>
      <w:pPr>
        <w:spacing w:line="360" w:lineRule="auto" w:after="120"/>
      </w:pPr>
      <w:r>
        <w:rPr>
          <w:rFonts w:ascii="Times New Roman" w:hAnsi="Times New Roman" w:eastAsia="Times New Roman"/>
          <w:b w:val="0"/>
          <w:color w:val="000000"/>
          <w:sz w:val="24"/>
        </w:rPr>
        <w:t>The first held-out AI-judge evaluation showed high faithfulness but weaker completeness. Among 120 answerable internal held-out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w:t>
      </w:r>
    </w:p>
    <w:p>
      <w:pPr>
        <w:spacing w:line="360" w:lineRule="auto" w:after="120"/>
      </w:pPr>
      <w:r>
        <w:rPr>
          <w:rFonts w:ascii="Times New Roman" w:hAnsi="Times New Roman" w:eastAsia="Times New Roman"/>
          <w:b w:val="0"/>
          <w:color w:val="000000"/>
          <w:sz w:val="24"/>
        </w:rP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They should not be interpreted as paired repeated-measure improvements because the stages used different evaluation sets.</w:t>
      </w:r>
    </w:p>
    <w:p>
      <w:pPr>
        <w:spacing w:line="360" w:lineRule="auto" w:after="120"/>
      </w:pPr>
      <w:r>
        <w:rPr>
          <w:rFonts w:ascii="Times New Roman" w:hAnsi="Times New Roman" w:eastAsia="Times New Roman"/>
          <w:b w:val="0"/>
          <w:color w:val="000000"/>
          <w:sz w:val="24"/>
        </w:rP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prospective stress test was therefore run as a challenge to the internal pattern. Its refusal correctness of 0.700 showed that the internal 1.000 refusal result was too narrow for reliability claims.</w:t>
      </w:r>
    </w:p>
    <w:p>
      <w:pPr>
        <w:pStyle w:val="Heading2"/>
        <w:spacing w:line="276" w:lineRule="auto" w:after="120"/>
      </w:pPr>
      <w:r>
        <w:rPr>
          <w:rFonts w:ascii="Times New Roman" w:hAnsi="Times New Roman" w:eastAsia="Times New Roman"/>
          <w:b/>
          <w:color w:val="000000"/>
          <w:sz w:val="26"/>
        </w:rPr>
        <w:t>Completeness errors</w:t>
      </w:r>
    </w:p>
    <w:p>
      <w:pPr>
        <w:spacing w:line="360" w:lineRule="auto" w:after="120"/>
      </w:pPr>
      <w:r>
        <w:rPr>
          <w:rFonts w:ascii="Times New Roman" w:hAnsi="Times New Roman" w:eastAsia="Times New Roman"/>
          <w:b w:val="0"/>
          <w:color w:val="000000"/>
          <w:sz w:val="24"/>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spacing w:line="360" w:lineRule="auto" w:after="120"/>
      </w:pPr>
      <w:r>
        <w:rPr>
          <w:rFonts w:ascii="Times New Roman" w:hAnsi="Times New Roman" w:eastAsia="Times New Roman"/>
          <w:b w:val="0"/>
          <w:color w:val="000000"/>
          <w:sz w:val="24"/>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line="360" w:lineRule="auto" w:after="120"/>
      </w:pPr>
      <w:r>
        <w:rPr>
          <w:rFonts w:ascii="Times New Roman" w:hAnsi="Times New Roman" w:eastAsia="Times New Roman"/>
          <w:b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and representative answer outcomes are provided in Table 3.</w:t>
      </w:r>
    </w:p>
    <w:p>
      <w:pPr>
        <w:pStyle w:val="Heading2"/>
        <w:spacing w:line="276" w:lineRule="auto" w:after="120"/>
      </w:pPr>
      <w:r>
        <w:rPr>
          <w:rFonts w:ascii="Times New Roman" w:hAnsi="Times New Roman" w:eastAsia="Times New Roman"/>
          <w:b/>
          <w:color w:val="000000"/>
          <w:sz w:val="26"/>
        </w:rPr>
        <w:t>AI-authored prospective stress test</w:t>
      </w:r>
    </w:p>
    <w:p>
      <w:pPr>
        <w:spacing w:line="360" w:lineRule="auto" w:after="120"/>
      </w:pPr>
      <w:r>
        <w:rPr>
          <w:rFonts w:ascii="Times New Roman" w:hAnsi="Times New Roman" w:eastAsia="Times New Roman"/>
          <w:b w:val="0"/>
          <w:color w:val="000000"/>
          <w:sz w:val="24"/>
        </w:rPr>
        <w:t>The first AI-authored prospective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spacing w:line="360" w:lineRule="auto" w:after="120"/>
      </w:pPr>
      <w:r>
        <w:rPr>
          <w:rFonts w:ascii="Times New Roman" w:hAnsi="Times New Roman" w:eastAsia="Times New Roman"/>
          <w:b w:val="0"/>
          <w:color w:val="000000"/>
          <w:sz w:val="24"/>
        </w:rPr>
        <w:t>The same test exposed refusal behavior as the main remaining weakness. Literal refusal detection for unanswerable/adversarial questions was 0.600, and AI-judge refusal correctness was 0.700.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spacing w:line="360" w:lineRule="auto" w:after="120"/>
      </w:pPr>
      <w:r>
        <w:rPr>
          <w:rFonts w:ascii="Times New Roman" w:hAnsi="Times New Roman" w:eastAsia="Times New Roman"/>
          <w:b w:val="0"/>
          <w:color w:val="000000"/>
          <w:sz w:val="24"/>
        </w:rPr>
        <w:t>Language-specific prospective-test results were similar but not identical. Among answerable prospective-test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spacing w:line="276" w:lineRule="auto" w:after="120"/>
      </w:pPr>
      <w:r>
        <w:rPr>
          <w:rFonts w:ascii="Times New Roman" w:hAnsi="Times New Roman" w:eastAsia="Times New Roman"/>
          <w:b/>
          <w:color w:val="000000"/>
          <w:sz w:val="26"/>
        </w:rPr>
        <w:t>Refusal calibration</w:t>
      </w:r>
    </w:p>
    <w:p>
      <w:pPr>
        <w:spacing w:line="360" w:lineRule="auto" w:after="120"/>
      </w:pPr>
      <w:r>
        <w:rPr>
          <w:rFonts w:ascii="Times New Roman" w:hAnsi="Times New Roman" w:eastAsia="Times New Roman"/>
          <w:b w:val="0"/>
          <w:color w:val="000000"/>
          <w:sz w:val="24"/>
        </w:rPr>
        <w:t>After the first AI-authored prospective stress test, refusal rules were revised using a separate refusal-development set.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spacing w:line="360" w:lineRule="auto" w:after="120"/>
      </w:pPr>
      <w:r>
        <w:rPr>
          <w:rFonts w:ascii="Times New Roman" w:hAnsi="Times New Roman" w:eastAsia="Times New Roman"/>
          <w:b w:val="0"/>
          <w:color w:val="000000"/>
          <w:sz w:val="24"/>
        </w:rPr>
        <w:t>In the later refusal-focused AI-authored test, the system correctly refused 17 of 18 unanswerable questions by AI-judge scoring, giving refusal correctness 0.944. It did not over-refuse the answerable controls: answerable-control faithfulness was 1.000, citation correctness was 1.000, and completeness was 0.908. This improvement and the completeness trade-off are shown in Figure 3B. The result suggests that refusal calibration improved abstention behavior, but it also shows a cost: answerable-control completeness was lower than in the first AI-authored prospective stress test.</w:t>
      </w:r>
    </w:p>
    <w:p>
      <w:pPr>
        <w:spacing w:line="360" w:lineRule="auto" w:after="120"/>
      </w:pPr>
      <w:r>
        <w:rPr>
          <w:rFonts w:ascii="Times New Roman" w:hAnsi="Times New Roman" w:eastAsia="Times New Roman"/>
          <w:b w:val="0"/>
          <w:color w:val="000000"/>
          <w:sz w:val="24"/>
        </w:rPr>
        <w:t>The remaining boundary problem involved questions where the corpus contained a related general rule but not the exact requested fact. This is a regulatory risk because related evidence can sound persuasive while still being insufficient. The safest interpretation is that refusal improved, not that refusal was solved.</w:t>
      </w:r>
    </w:p>
    <w:p>
      <w:pPr>
        <w:pStyle w:val="Heading2"/>
        <w:spacing w:line="276" w:lineRule="auto" w:after="120"/>
      </w:pPr>
      <w:r>
        <w:rPr>
          <w:rFonts w:ascii="Times New Roman" w:hAnsi="Times New Roman" w:eastAsia="Times New Roman"/>
          <w:b/>
          <w:color w:val="000000"/>
          <w:sz w:val="26"/>
        </w:rPr>
        <w:t>Summary of quantitative evaluation</w:t>
      </w:r>
    </w:p>
    <w:p>
      <w:pPr>
        <w:spacing w:line="360" w:lineRule="auto" w:after="120"/>
      </w:pPr>
      <w:r>
        <w:rPr>
          <w:rFonts w:ascii="Times New Roman" w:hAnsi="Times New Roman" w:eastAsia="Times New Roman"/>
          <w:b w:val="0"/>
          <w:color w:val="000000"/>
          <w:sz w:val="24"/>
        </w:rPr>
        <w:t>Across the development path, the main metrics changed in ways that affected the project interpretation. Initial internal held-out answer completeness was 0.808 overall for answerable rows, with English completeness 0.645. After targeted English repair, the English repair set reached completeness 0.995. After Portuguese residual-quality repair, the Portuguese repair set reached completeness 0.995. These internal repair results were not treated as independent proof because they followed error review and targeted changes.</w:t>
      </w:r>
    </w:p>
    <w:p>
      <w:pPr>
        <w:spacing w:line="360" w:lineRule="auto" w:after="120"/>
      </w:pPr>
      <w:r>
        <w:rPr>
          <w:rFonts w:ascii="Times New Roman" w:hAnsi="Times New Roman" w:eastAsia="Times New Roman"/>
          <w:b w:val="0"/>
          <w:color w:val="000000"/>
          <w:sz w:val="24"/>
        </w:rPr>
        <w:t>The first AI-authored prospective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refusal-focused AI-authored test after separate calibration improved refusal correctness to 0.944 but had answerable-control completeness 0.908. Thus the main residual problem shifted from retrieval and language support to the boundary between partial related evidence and sufficient evidence.</w:t>
      </w:r>
    </w:p>
    <w:p>
      <w:pPr>
        <w:pStyle w:val="Heading1"/>
        <w:spacing w:line="276" w:lineRule="auto" w:after="120"/>
      </w:pPr>
      <w:r>
        <w:rPr>
          <w:rFonts w:ascii="Times New Roman" w:hAnsi="Times New Roman" w:eastAsia="Times New Roman"/>
          <w:b/>
          <w:color w:val="000000"/>
          <w:sz w:val="26"/>
        </w:rPr>
        <w:t>Discussion</w:t>
      </w:r>
    </w:p>
    <w:p>
      <w:pPr>
        <w:pStyle w:val="Heading2"/>
        <w:spacing w:line="276" w:lineRule="auto" w:after="120"/>
      </w:pPr>
      <w:r>
        <w:rPr>
          <w:rFonts w:ascii="Times New Roman" w:hAnsi="Times New Roman" w:eastAsia="Times New Roman"/>
          <w:b/>
          <w:color w:val="000000"/>
          <w:sz w:val="26"/>
        </w:rPr>
        <w:t>Principal finding</w:t>
      </w:r>
    </w:p>
    <w:p>
      <w:pPr>
        <w:spacing w:line="360" w:lineRule="auto" w:after="120"/>
      </w:pPr>
      <w:r>
        <w:rPr>
          <w:rFonts w:ascii="Times New Roman" w:hAnsi="Times New Roman" w:eastAsia="Times New Roman"/>
          <w:b w:val="0"/>
          <w:color w:val="000000"/>
          <w:sz w:val="24"/>
        </w:rPr>
        <w:t>The main finding is not that the system achieved high average scores. The main finding is that a bilingual RAG prototype can support traceable access to selected ANVISA documents when it is evaluated as a closed-corpus evidence-location tool. Its usefulness depends on three controls: article citation, completeness checking, and refusal when the indexed documents do not contain the requested fact.</w:t>
      </w:r>
    </w:p>
    <w:p>
      <w:pPr>
        <w:spacing w:line="360" w:lineRule="auto" w:after="120"/>
      </w:pPr>
      <w:r>
        <w:rPr>
          <w:rFonts w:ascii="Times New Roman" w:hAnsi="Times New Roman" w:eastAsia="Times New Roman"/>
          <w:b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pStyle w:val="Heading2"/>
        <w:spacing w:line="276" w:lineRule="auto" w:after="120"/>
      </w:pPr>
      <w:r>
        <w:rPr>
          <w:rFonts w:ascii="Times New Roman" w:hAnsi="Times New Roman" w:eastAsia="Times New Roman"/>
          <w:b/>
          <w:color w:val="000000"/>
          <w:sz w:val="26"/>
        </w:rPr>
        <w:t>Why examples and quantitative metrics both matter</w:t>
      </w:r>
    </w:p>
    <w:p>
      <w:pPr>
        <w:spacing w:line="360" w:lineRule="auto" w:after="120"/>
      </w:pPr>
      <w:r>
        <w:rPr>
          <w:rFonts w:ascii="Times New Roman" w:hAnsi="Times New Roman" w:eastAsia="Times New Roman"/>
          <w:b w:val="0"/>
          <w:color w:val="000000"/>
          <w:sz w:val="24"/>
        </w:rPr>
        <w:t>The results support using both metrics and examples. Metrics showed the overall pattern: high answerable-question retrieval and grounding, lower refusal correctness in the first AI-authored prospective stress test, and improved refusal correctness after calibration. Examples showed why the scores matter. An average completeness score does not tell the reader whether the omitted item was trivial or operationally important. In this project, omissions involved active-search obligations, ICH E2F conditions, market-availability requirements for instructions for use, the general rule before a biological-product exception, and a 30-business-day deadline.</w:t>
      </w:r>
    </w:p>
    <w:p>
      <w:pPr>
        <w:spacing w:line="360" w:lineRule="auto" w:after="120"/>
      </w:pPr>
      <w:r>
        <w:rPr>
          <w:rFonts w:ascii="Times New Roman" w:hAnsi="Times New Roman" w:eastAsia="Times New Roman"/>
          <w:b w:val="0"/>
          <w:color w:val="000000"/>
          <w:sz w:val="24"/>
        </w:rPr>
        <w:t>The same point applies to refusal. A question about a current phone number, current MedDRA version, petition subject code, exact form model, or private case status may sound regulatory, but the answer may not be in a closed corpus of resolutions. A system that answers such questions from nearby text can create false confidence. Refusal correctness should therefore be reported as a primary endpoint, not as a minor safety note.</w:t>
      </w:r>
    </w:p>
    <w:p>
      <w:pPr>
        <w:pStyle w:val="Heading2"/>
        <w:spacing w:line="276" w:lineRule="auto" w:after="120"/>
      </w:pPr>
      <w:r>
        <w:rPr>
          <w:rFonts w:ascii="Times New Roman" w:hAnsi="Times New Roman" w:eastAsia="Times New Roman"/>
          <w:b/>
          <w:color w:val="000000"/>
          <w:sz w:val="26"/>
        </w:rPr>
        <w:t>Implications for drug development and regulatory affairs</w:t>
      </w:r>
    </w:p>
    <w:p>
      <w:pPr>
        <w:spacing w:line="360" w:lineRule="auto" w:after="120"/>
      </w:pPr>
      <w:r>
        <w:rPr>
          <w:rFonts w:ascii="Times New Roman" w:hAnsi="Times New Roman" w:eastAsia="Times New Roman"/>
          <w:b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pPr>
        <w:spacing w:line="360" w:lineRule="auto" w:after="120"/>
      </w:pPr>
      <w:r>
        <w:rPr>
          <w:rFonts w:ascii="Times New Roman" w:hAnsi="Times New Roman" w:eastAsia="Times New Roman"/>
          <w:b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pPr>
        <w:spacing w:line="360" w:lineRule="auto" w:after="120"/>
      </w:pPr>
      <w:r>
        <w:rPr>
          <w:rFonts w:ascii="Times New Roman" w:hAnsi="Times New Roman" w:eastAsia="Times New Roman"/>
          <w:b w:val="0"/>
          <w:color w:val="000000"/>
          <w:sz w:val="24"/>
        </w:rPr>
        <w:t>The examples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narrow evidence-location tasks, which is the level at which a closed-corpus RAG tool can be tested responsibly.</w:t>
      </w:r>
    </w:p>
    <w:p>
      <w:pPr>
        <w:pStyle w:val="Heading2"/>
        <w:spacing w:line="276" w:lineRule="auto" w:after="120"/>
      </w:pPr>
      <w:r>
        <w:rPr>
          <w:rFonts w:ascii="Times New Roman" w:hAnsi="Times New Roman" w:eastAsia="Times New Roman"/>
          <w:b/>
          <w:color w:val="000000"/>
          <w:sz w:val="26"/>
        </w:rPr>
        <w:t>Intended users and confidence boundary</w:t>
      </w:r>
    </w:p>
    <w:p>
      <w:pPr>
        <w:spacing w:line="360" w:lineRule="auto" w:after="120"/>
      </w:pPr>
      <w:r>
        <w:rPr>
          <w:rFonts w:ascii="Times New Roman" w:hAnsi="Times New Roman" w:eastAsia="Times New Roman"/>
          <w:b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pPr>
        <w:spacing w:line="360" w:lineRule="auto" w:after="120"/>
      </w:pPr>
      <w:r>
        <w:rPr>
          <w:rFonts w:ascii="Times New Roman" w:hAnsi="Times New Roman" w:eastAsia="Times New Roman"/>
          <w:b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spacing w:line="276" w:lineRule="auto" w:after="120"/>
      </w:pPr>
      <w:r>
        <w:rPr>
          <w:rFonts w:ascii="Times New Roman" w:hAnsi="Times New Roman" w:eastAsia="Times New Roman"/>
          <w:b/>
          <w:color w:val="000000"/>
          <w:sz w:val="26"/>
        </w:rPr>
        <w:t>Comparison with prior work</w:t>
      </w:r>
    </w:p>
    <w:p>
      <w:pPr>
        <w:spacing w:line="360" w:lineRule="auto" w:after="120"/>
      </w:pPr>
      <w:r>
        <w:rPr>
          <w:rFonts w:ascii="Times New Roman" w:hAnsi="Times New Roman" w:eastAsia="Times New Roman"/>
          <w:b w:val="0"/>
          <w:color w:val="000000"/>
          <w:sz w:val="24"/>
        </w:rPr>
        <w:t>The prior TIRS study on generative AI search of FDA guidance documents reported both potential and limitations [2].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pPr>
        <w:spacing w:line="360" w:lineRule="auto" w:after="120"/>
      </w:pPr>
      <w:r>
        <w:rPr>
          <w:rFonts w:ascii="Times New Roman" w:hAnsi="Times New Roman" w:eastAsia="Times New Roman"/>
          <w:b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pStyle w:val="Heading1"/>
        <w:spacing w:line="276" w:lineRule="auto" w:after="120"/>
      </w:pPr>
      <w:r>
        <w:rPr>
          <w:rFonts w:ascii="Times New Roman" w:hAnsi="Times New Roman" w:eastAsia="Times New Roman"/>
          <w:b/>
          <w:color w:val="000000"/>
          <w:sz w:val="26"/>
        </w:rPr>
        <w:t>Limitations</w:t>
      </w:r>
    </w:p>
    <w:p>
      <w:pPr>
        <w:spacing w:line="360" w:lineRule="auto" w:after="120"/>
      </w:pPr>
      <w:r>
        <w:rPr>
          <w:rFonts w:ascii="Times New Roman" w:hAnsi="Times New Roman" w:eastAsia="Times New Roman"/>
          <w:b w:val="0"/>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AI-authored prospective stress test required artifact recovery after output files were moved; preserved settings were used, but this should be reported transparently. Finally, the prototype was tested offline and not in a prospective regulatory-affairs workflow.</w:t>
      </w:r>
    </w:p>
    <w:p>
      <w:pPr>
        <w:spacing w:line="360" w:lineRule="auto" w:after="120"/>
      </w:pPr>
      <w:r>
        <w:rPr>
          <w:rFonts w:ascii="Times New Roman" w:hAnsi="Times New Roman" w:eastAsia="Times New Roman"/>
          <w:b w:val="0"/>
          <w:color w:val="000000"/>
          <w:sz w:val="24"/>
        </w:rPr>
        <w:t>The AI judge is also a limitation. It can score consistency between a question, expected answer, generated answer, and retrieved evidence, but it cannot certify regulatory correctness. The answer model and automated judge used the same Gemini model family, which may overestimate answer quality through same-model-family grading. Continuous AI-judge means should therefore be read as reproducibility-oriented technical indicators. They are useful because they are auditable and applied consistently, but they are not a substitute for blinded expert review.</w:t>
      </w:r>
    </w:p>
    <w:p>
      <w:pPr>
        <w:pStyle w:val="Heading1"/>
        <w:spacing w:line="276" w:lineRule="auto" w:after="120"/>
      </w:pPr>
      <w:r>
        <w:rPr>
          <w:rFonts w:ascii="Times New Roman" w:hAnsi="Times New Roman" w:eastAsia="Times New Roman"/>
          <w:b/>
          <w:color w:val="000000"/>
          <w:sz w:val="26"/>
        </w:rPr>
        <w:t>Future work</w:t>
      </w:r>
    </w:p>
    <w:p>
      <w:pPr>
        <w:spacing w:line="360" w:lineRule="auto" w:after="120"/>
      </w:pPr>
      <w:r>
        <w:rPr>
          <w:rFonts w:ascii="Times New Roman" w:hAnsi="Times New Roman" w:eastAsia="Times New Roman"/>
          <w:b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prospective question authoring by users not involved in system development, and comparison with standard document search. The corpus should also be expanded and versioned so that users can see whether a question requires current information outside the indexed corpus rather than static document retrieval.</w:t>
      </w:r>
    </w:p>
    <w:p>
      <w:pPr>
        <w:pStyle w:val="Heading1"/>
        <w:spacing w:line="276" w:lineRule="auto" w:after="120"/>
      </w:pPr>
      <w:r>
        <w:rPr>
          <w:rFonts w:ascii="Times New Roman" w:hAnsi="Times New Roman" w:eastAsia="Times New Roman"/>
          <w:b/>
          <w:color w:val="000000"/>
          <w:sz w:val="26"/>
        </w:rPr>
        <w:t>Conclusion</w:t>
      </w:r>
    </w:p>
    <w:p>
      <w:pPr>
        <w:spacing w:line="360" w:lineRule="auto" w:after="120"/>
      </w:pPr>
      <w:r>
        <w:rPr>
          <w:rFonts w:ascii="Times New Roman" w:hAnsi="Times New Roman" w:eastAsia="Times New Roman"/>
          <w:b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spacing w:line="276" w:lineRule="auto" w:after="120"/>
      </w:pPr>
      <w:r>
        <w:rPr>
          <w:rFonts w:ascii="Times New Roman" w:hAnsi="Times New Roman" w:eastAsia="Times New Roman"/>
          <w:b/>
          <w:color w:val="000000"/>
          <w:sz w:val="26"/>
        </w:rPr>
        <w:t>Funding</w:t>
      </w:r>
    </w:p>
    <w:p>
      <w:pPr>
        <w:spacing w:line="360" w:lineRule="auto" w:after="120"/>
      </w:pPr>
      <w:r>
        <w:rPr>
          <w:rFonts w:ascii="Times New Roman" w:hAnsi="Times New Roman" w:eastAsia="Times New Roman"/>
          <w:b w:val="0"/>
          <w:color w:val="000000"/>
          <w:sz w:val="24"/>
        </w:rPr>
        <w:t>The authors received no specific funding for this work.</w:t>
      </w:r>
    </w:p>
    <w:p>
      <w:pPr>
        <w:pStyle w:val="Heading1"/>
        <w:spacing w:line="276" w:lineRule="auto" w:after="120"/>
      </w:pPr>
      <w:r>
        <w:rPr>
          <w:rFonts w:ascii="Times New Roman" w:hAnsi="Times New Roman" w:eastAsia="Times New Roman"/>
          <w:b/>
          <w:color w:val="000000"/>
          <w:sz w:val="26"/>
        </w:rPr>
        <w:t>Conflict of Interest</w:t>
      </w:r>
    </w:p>
    <w:p>
      <w:pPr>
        <w:spacing w:line="360" w:lineRule="auto" w:after="120"/>
      </w:pPr>
      <w:r>
        <w:rPr>
          <w:rFonts w:ascii="Times New Roman" w:hAnsi="Times New Roman" w:eastAsia="Times New Roman"/>
          <w:b w:val="0"/>
          <w:color w:val="000000"/>
          <w:sz w:val="24"/>
        </w:rPr>
        <w:t>The authors declare no competing financial interests.</w:t>
      </w:r>
    </w:p>
    <w:p>
      <w:pPr>
        <w:pStyle w:val="Heading1"/>
        <w:spacing w:line="276" w:lineRule="auto" w:after="120"/>
      </w:pPr>
      <w:r>
        <w:rPr>
          <w:rFonts w:ascii="Times New Roman" w:hAnsi="Times New Roman" w:eastAsia="Times New Roman"/>
          <w:b/>
          <w:color w:val="000000"/>
          <w:sz w:val="26"/>
        </w:rPr>
        <w:t>Author Contributions</w:t>
      </w:r>
    </w:p>
    <w:p>
      <w:pPr>
        <w:spacing w:line="360" w:lineRule="auto" w:after="120"/>
      </w:pPr>
      <w:r>
        <w:rPr>
          <w:rFonts w:ascii="Times New Roman" w:hAnsi="Times New Roman" w:eastAsia="Times New Roman"/>
          <w:b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spacing w:line="276" w:lineRule="auto" w:after="120"/>
      </w:pPr>
      <w:r>
        <w:rPr>
          <w:rFonts w:ascii="Times New Roman" w:hAnsi="Times New Roman" w:eastAsia="Times New Roman"/>
          <w:b/>
          <w:color w:val="000000"/>
          <w:sz w:val="26"/>
        </w:rPr>
        <w:t>Data Availability</w:t>
      </w:r>
    </w:p>
    <w:p>
      <w:pPr>
        <w:spacing w:line="360" w:lineRule="auto" w:after="120"/>
      </w:pPr>
      <w:r>
        <w:rPr>
          <w:rFonts w:ascii="Times New Roman" w:hAnsi="Times New Roman" w:eastAsia="Times New Roman"/>
          <w:b w:val="0"/>
          <w:color w:val="000000"/>
          <w:sz w:val="24"/>
        </w:rPr>
        <w:t>The code, benchmark manifests, generated outputs, prompts, and non-restricted derived artifacts are archived in a private project repository during manuscript preparation and will be made publicly available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pStyle w:val="Heading1"/>
        <w:spacing w:line="276" w:lineRule="auto" w:after="120"/>
      </w:pPr>
      <w:r>
        <w:rPr>
          <w:rFonts w:ascii="Times New Roman" w:hAnsi="Times New Roman" w:eastAsia="Times New Roman"/>
          <w:b/>
          <w:color w:val="000000"/>
          <w:sz w:val="26"/>
        </w:rPr>
        <w:t>Ethics Approval</w:t>
      </w:r>
    </w:p>
    <w:p>
      <w:pPr>
        <w:spacing w:line="360" w:lineRule="auto" w:after="120"/>
      </w:pPr>
      <w:r>
        <w:rPr>
          <w:rFonts w:ascii="Times New Roman" w:hAnsi="Times New Roman" w:eastAsia="Times New Roman"/>
          <w:b w:val="0"/>
          <w:color w:val="000000"/>
          <w:sz w:val="24"/>
        </w:rPr>
        <w:t>Ethics approval was not required because the study used public regulatory documents and generated benchmark questions. No human participants, patient data, animal data, or clinical trial data were used.</w:t>
      </w:r>
    </w:p>
    <w:p>
      <w:pPr>
        <w:pStyle w:val="Heading1"/>
        <w:spacing w:line="276" w:lineRule="auto" w:after="120"/>
      </w:pPr>
      <w:r>
        <w:rPr>
          <w:rFonts w:ascii="Times New Roman" w:hAnsi="Times New Roman" w:eastAsia="Times New Roman"/>
          <w:b/>
          <w:color w:val="000000"/>
          <w:sz w:val="26"/>
        </w:rPr>
        <w:t>Clinical Trial Registration</w:t>
      </w:r>
    </w:p>
    <w:p>
      <w:pPr>
        <w:spacing w:line="360" w:lineRule="auto" w:after="120"/>
      </w:pPr>
      <w:r>
        <w:rPr>
          <w:rFonts w:ascii="Times New Roman" w:hAnsi="Times New Roman" w:eastAsia="Times New Roman"/>
          <w:b w:val="0"/>
          <w:color w:val="000000"/>
          <w:sz w:val="24"/>
        </w:rPr>
        <w:t>Not applicable.</w:t>
      </w:r>
    </w:p>
    <w:p>
      <w:pPr>
        <w:pStyle w:val="Heading1"/>
        <w:spacing w:line="276" w:lineRule="auto" w:after="120"/>
      </w:pPr>
      <w:r>
        <w:rPr>
          <w:rFonts w:ascii="Times New Roman" w:hAnsi="Times New Roman" w:eastAsia="Times New Roman"/>
          <w:b/>
          <w:color w:val="000000"/>
          <w:sz w:val="26"/>
        </w:rPr>
        <w:t>References</w:t>
      </w:r>
    </w:p>
    <w:p>
      <w:pPr>
        <w:spacing w:line="360" w:lineRule="auto" w:after="120"/>
      </w:pPr>
      <w:r>
        <w:rPr>
          <w:rFonts w:ascii="Times New Roman" w:hAnsi="Times New Roman" w:eastAsia="Times New Roman"/>
          <w:b w:val="0"/>
          <w:color w:val="000000"/>
          <w:sz w:val="24"/>
        </w:rPr>
        <w:t>1. Lewis P, Perez E, Piktus A, et al. Retrieval-Augmented Generation for Knowledge-Intensive NLP Tasks. Advances in Neural Information Processing Systems. 2020;33:9459-9474.</w:t>
      </w:r>
    </w:p>
    <w:p>
      <w:pPr>
        <w:spacing w:line="360" w:lineRule="auto" w:after="120"/>
      </w:pPr>
      <w:r>
        <w:rPr>
          <w:rFonts w:ascii="Times New Roman" w:hAnsi="Times New Roman" w:eastAsia="Times New Roman"/>
          <w:b w:val="0"/>
          <w:color w:val="000000"/>
          <w:sz w:val="24"/>
        </w:rPr>
        <w:t>2. Proestel S, Jeng LJB, Smith C, et al. Semantic Search of FDA Guidance Documents Using Generative AI. Ther Innov Regul Sci. 2025;59:1148-1159. doi:10.1007/s43441-025-00798-8.</w:t>
      </w:r>
    </w:p>
    <w:p>
      <w:pPr>
        <w:spacing w:line="360" w:lineRule="auto" w:after="120"/>
      </w:pPr>
      <w:r>
        <w:rPr>
          <w:rFonts w:ascii="Times New Roman" w:hAnsi="Times New Roman" w:eastAsia="Times New Roman"/>
          <w:b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spacing w:line="360" w:lineRule="auto" w:after="120"/>
      </w:pPr>
      <w:r>
        <w:rPr>
          <w:rFonts w:ascii="Times New Roman" w:hAnsi="Times New Roman" w:eastAsia="Times New Roman"/>
          <w:b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spacing w:line="360" w:lineRule="auto" w:after="120"/>
      </w:pPr>
      <w:r>
        <w:rPr>
          <w:rFonts w:ascii="Times New Roman" w:hAnsi="Times New Roman" w:eastAsia="Times New Roman"/>
          <w:b w:val="0"/>
          <w:color w:val="000000"/>
          <w:sz w:val="24"/>
        </w:rPr>
        <w:t>5. Agencia Nacional de Vigilancia Sanitaria. Resolucao - RDC No. 55, de 16 de dezembro de 2010. Registration of new biological products and biological products. AnvisaLegis. Accessed 19 July 2026.</w:t>
      </w:r>
    </w:p>
    <w:p>
      <w:pPr>
        <w:spacing w:line="360" w:lineRule="auto" w:after="120"/>
      </w:pPr>
      <w:r>
        <w:rPr>
          <w:rFonts w:ascii="Times New Roman" w:hAnsi="Times New Roman" w:eastAsia="Times New Roman"/>
          <w:b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spacing w:line="360" w:lineRule="auto" w:after="120"/>
      </w:pPr>
      <w:r>
        <w:rPr>
          <w:rFonts w:ascii="Times New Roman" w:hAnsi="Times New Roman" w:eastAsia="Times New Roman"/>
          <w:b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spacing w:line="360" w:lineRule="auto" w:after="120"/>
      </w:pPr>
      <w:r>
        <w:rPr>
          <w:rFonts w:ascii="Times New Roman" w:hAnsi="Times New Roman" w:eastAsia="Times New Roman"/>
          <w:b w:val="0"/>
          <w:color w:val="000000"/>
          <w:sz w:val="24"/>
        </w:rPr>
        <w:t>8. Agencia Nacional de Vigilancia Sanitaria. Resolucao RDC No. 9, de 20 de fevereiro de 2015. Regulation for clinical trials with medicines in Brazil. AnvisaLegis. Accessed 19 July 2026.</w:t>
      </w:r>
    </w:p>
    <w:p>
      <w:pPr>
        <w:spacing w:line="360" w:lineRule="auto" w:after="120"/>
      </w:pPr>
      <w:r>
        <w:rPr>
          <w:rFonts w:ascii="Times New Roman" w:hAnsi="Times New Roman" w:eastAsia="Times New Roman"/>
          <w:b w:val="0"/>
          <w:color w:val="000000"/>
          <w:sz w:val="24"/>
        </w:rPr>
        <w:t>Official AnvisaLegis URLs and SHA-256 checksums for references 3-8 are provided in the supplementary source reproducibility file.</w:t>
      </w:r>
    </w:p>
    <w:p>
      <w:pPr>
        <w:spacing w:line="360" w:lineRule="auto" w:after="120"/>
      </w:pPr>
      <w:r>
        <w:rPr>
          <w:rFonts w:ascii="Times New Roman" w:hAnsi="Times New Roman" w:eastAsia="Times New Roman"/>
          <w:b w:val="0"/>
          <w:color w:val="000000"/>
          <w:sz w:val="24"/>
        </w:rPr>
        <w:t>Figure Legends</w:t>
      </w:r>
    </w:p>
    <w:p>
      <w:pPr>
        <w:spacing w:line="360" w:lineRule="auto" w:after="120"/>
      </w:pPr>
      <w:r>
        <w:rPr>
          <w:rFonts w:ascii="Times New Roman" w:hAnsi="Times New Roman" w:eastAsia="Times New Roman"/>
          <w:b w:val="0"/>
          <w:color w:val="000000"/>
          <w:sz w:val="24"/>
        </w:rPr>
        <w:t>Figure 1. Closed-corpus RAG workflow. The workflow shows the path from selected ANVISA source documents to cleaned text, article-aware chunks with metadata, hybrid retrieval, reranking, answer generation, and evaluation. Source artifacts recorded six indexed regulatory documents, 382 detected articles, 481 article-level chunks, and a 200-question internal benchmark.</w:t>
      </w:r>
    </w:p>
    <w:p>
      <w:pPr>
        <w:spacing w:line="360" w:lineRule="auto" w:after="120"/>
      </w:pPr>
      <w:r>
        <w:rPr>
          <w:rFonts w:ascii="Times New Roman" w:hAnsi="Times New Roman" w:eastAsia="Times New Roman"/>
          <w:b w:val="0"/>
          <w:color w:val="000000"/>
          <w:sz w:val="24"/>
        </w:rPr>
        <w:t>Figure 2. Benchmark design and source coverage. The benchmark contained 70 Portuguese answerable questions, 70 English answerable questions, 20 multi-article or exception questions, and 40 unanswerable or adversarial questions. Gold source evidence covered all six indexed ANVISA documents and 78 unique article citations.</w:t>
      </w:r>
    </w:p>
    <w:p>
      <w:pPr>
        <w:spacing w:line="360" w:lineRule="auto" w:after="120"/>
      </w:pPr>
      <w:r>
        <w:rPr>
          <w:rFonts w:ascii="Times New Roman" w:hAnsi="Times New Roman" w:eastAsia="Times New Roman"/>
          <w:b w:val="0"/>
          <w:color w:val="000000"/>
          <w:sz w:val="24"/>
        </w:rPr>
        <w:t>Figure 3A. Development-stage answer-quality metrics. Mean AI-judge scores are shown for faithfulness, citation correctness, completeness, and refusal correctness across the main evaluation stages. The stages used different evaluation sets; the plot summarizes development history and should not be interpreted as a paired repeated-measure comparison.</w:t>
      </w:r>
    </w:p>
    <w:p>
      <w:pPr>
        <w:spacing w:line="360" w:lineRule="auto" w:after="120"/>
      </w:pPr>
      <w:r>
        <w:rPr>
          <w:rFonts w:ascii="Times New Roman" w:hAnsi="Times New Roman" w:eastAsia="Times New Roman"/>
          <w:b w:val="0"/>
          <w:color w:val="000000"/>
          <w:sz w:val="24"/>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60" w:lineRule="auto" w:after="120"/>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