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AI-authored prospective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AI-authored prospective stress test, refusal-development run, and refusal-focused AI-authored prospective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AI-authored prospective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AI-authored prospective stress test changed the interpretation by showing that refusal calibration was the main remaining weakness. The second refusal-focused AI-authored prospective test evaluated that repair using a separate AI-authored prospective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p>
      <w:r>
        <w:rPr>
          <w:rFonts w:ascii="Times New Roman" w:hAnsi="Times New Roman"/>
          <w:color w:val="000000"/>
          <w:sz w:val="24"/>
        </w:rPr>
        <w:br w:type="page"/>
      </w:r>
    </w:p>
    <w:p>
      <w:pPr>
        <w:pStyle w:val="Heading1"/>
      </w:pPr>
      <w:r>
        <w:rPr>
          <w:rFonts w:ascii="Times New Roman" w:hAnsi="Times New Roman"/>
          <w:color w:val="000000"/>
          <w:sz w:val="24"/>
        </w:rPr>
        <w:t>Origin of the prototype and decision trace</w:t>
      </w:r>
    </w:p>
    <w:p>
      <w:r>
        <w:rPr>
          <w:rFonts w:ascii="Times New Roman" w:hAnsi="Times New Roman"/>
          <w:color w:val="000000"/>
          <w:sz w:val="24"/>
        </w:rPr>
        <w:t>The project originated from three course notebooks: a local LLM scaffold, a chatbot, and a simple RAG application. The ANVISA implementation reused the teaching project structure but changed the technical design for regulatory documents. The recovered local ANVISA project is /Users/cmontefusco/Coding_projects/Rag_project. The original /Users/cmontefusco/Documents/DSAI2/Rag_project path is no longer present.</w:t>
      </w:r>
    </w:p>
    <w:p>
      <w:r>
        <w:rPr>
          <w:rFonts w:ascii="Times New Roman" w:hAnsi="Times New Roman"/>
          <w:color w:val="000000"/>
          <w:sz w:val="24"/>
        </w:rPr>
        <w:t>The main design changes were article-aware chunking, hybrid dense/BM25 retrieval, reciprocal-rank fusion, cross-encoder reranking, bilingual retrieval anchors, article citations, fixed refusal language, and AI-judge evaluation. The complete trace is in Supplementary Table S5 and the evidence-artifact decision-trace file.</w:t>
      </w:r>
    </w:p>
    <w:p>
      <w:pPr>
        <w:pStyle w:val="Heading1"/>
      </w:pPr>
      <w:r>
        <w:rPr>
          <w:rFonts w:ascii="Times New Roman" w:hAnsi="Times New Roman"/>
          <w:color w:val="000000"/>
          <w:sz w:val="24"/>
        </w:rPr>
        <w:t>Interpretation of saturated metrics</w:t>
      </w:r>
    </w:p>
    <w:p>
      <w:r>
        <w:rPr>
          <w:rFonts w:ascii="Times New Roman" w:hAnsi="Times New Roman"/>
          <w:color w:val="000000"/>
          <w:sz w:val="24"/>
        </w:rPr>
        <w:t>Internal 1.000 values were not interpreted as proof that the system was fully reliable. They were treated as a reason to run an AI-authored prospective stress test because internal sets were created during development, some repairs were targeted after error review, metrics can saturate on small subsets, and the answer model and judge used the same model family. The prospective stress test contradicted the internal refusal result by showing refusal correctness of 0.700, which became the main safety finding.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