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6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Supplementary Tables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Title: Bilingual Retrieval-Augmented Access to ANVISA Regulatory Documents</w:t>
      </w:r>
    </w:p>
    <w:p>
      <w:pPr>
        <w:spacing w:before="0" w:after="160" w:line="276" w:lineRule="auto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Prepared: 2026-07-20</w:t>
      </w:r>
    </w:p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Supplementary Table S1. Expanded development decision table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center"/>
        <w:tblLayout w:type="autofit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</w:trPr>
        <w:tc>
          <w:tcPr>
            <w:tcW w:type="dxa" w:w="1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Question category or system issue</w:t>
            </w:r>
          </w:p>
        </w:tc>
        <w:tc>
          <w:tcPr>
            <w:tcW w:type="dxa" w:w="23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What the system did well</w:t>
            </w:r>
          </w:p>
        </w:tc>
        <w:tc>
          <w:tcPr>
            <w:tcW w:type="dxa" w:w="21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What went wrong</w:t>
            </w:r>
          </w:p>
        </w:tc>
        <w:tc>
          <w:tcPr>
            <w:tcW w:type="dxa" w:w="19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What was changed</w:t>
            </w:r>
          </w:p>
        </w:tc>
        <w:tc>
          <w:tcPr>
            <w:tcW w:type="dxa" w:w="13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What this means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Source cleaning and document identity</w:t>
            </w:r>
          </w:p>
        </w:tc>
        <w:tc>
          <w:tcPr>
            <w:tcW w:type="dxa" w:w="23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The project identified the intended regulatory corpus.</w:t>
            </w:r>
          </w:p>
        </w:tc>
        <w:tc>
          <w:tcPr>
            <w:tcW w:type="dxa" w:w="21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Local source files included formatting artifacts and one misleading local file name.</w:t>
            </w:r>
          </w:p>
        </w:tc>
        <w:tc>
          <w:tcPr>
            <w:tcW w:type="dxa" w:w="19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Source text was cleaned and document identity was checked against official regulation names.</w:t>
            </w:r>
          </w:p>
        </w:tc>
        <w:tc>
          <w:tcPr>
            <w:tcW w:type="dxa" w:w="13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Regulatory RAG needs a stable and auditable corpus before retrieval metrics are interpretable.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Direct article questions</w:t>
            </w:r>
          </w:p>
        </w:tc>
        <w:tc>
          <w:tcPr>
            <w:tcW w:type="dxa" w:w="23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Retrieved and cited the correct article for compact questions.</w:t>
            </w:r>
          </w:p>
        </w:tc>
        <w:tc>
          <w:tcPr>
            <w:tcW w:type="dxa" w:w="21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Some answers still omitted conditions.</w:t>
            </w:r>
          </w:p>
        </w:tc>
        <w:tc>
          <w:tcPr>
            <w:tcW w:type="dxa" w:w="19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Article-level indexing and completeness prompting were added.</w:t>
            </w:r>
          </w:p>
        </w:tc>
        <w:tc>
          <w:tcPr>
            <w:tcW w:type="dxa" w:w="13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Useful for navigation, but citations must be checked.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English questions over Portuguese sources</w:t>
            </w:r>
          </w:p>
        </w:tc>
        <w:tc>
          <w:tcPr>
            <w:tcW w:type="dxa" w:w="23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Improved after Portuguese retrieval anchors.</w:t>
            </w:r>
          </w:p>
        </w:tc>
        <w:tc>
          <w:tcPr>
            <w:tcW w:type="dxa" w:w="21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English completeness was initially weak.</w:t>
            </w:r>
          </w:p>
        </w:tc>
        <w:tc>
          <w:tcPr>
            <w:tcW w:type="dxa" w:w="19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Conservative bilingual term anchors were added.</w:t>
            </w:r>
          </w:p>
        </w:tc>
        <w:tc>
          <w:tcPr>
            <w:tcW w:type="dxa" w:w="13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Bilingual search is feasible but needs controlled terminology.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Rule-plus-exception questions</w:t>
            </w:r>
          </w:p>
        </w:tc>
        <w:tc>
          <w:tcPr>
            <w:tcW w:type="dxa" w:w="23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Often found the right document.</w:t>
            </w:r>
          </w:p>
        </w:tc>
        <w:tc>
          <w:tcPr>
            <w:tcW w:type="dxa" w:w="21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Sometimes gave the exception without the general rule.</w:t>
            </w:r>
          </w:p>
        </w:tc>
        <w:tc>
          <w:tcPr>
            <w:tcW w:type="dxa" w:w="19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Rule-plus-exception failures were tracked separately.</w:t>
            </w:r>
          </w:p>
        </w:tc>
        <w:tc>
          <w:tcPr>
            <w:tcW w:type="dxa" w:w="13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Regulatory answers must preserve legal structure.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Long-list questions</w:t>
            </w:r>
          </w:p>
        </w:tc>
        <w:tc>
          <w:tcPr>
            <w:tcW w:type="dxa" w:w="23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Often found the right article.</w:t>
            </w:r>
          </w:p>
        </w:tc>
        <w:tc>
          <w:tcPr>
            <w:tcW w:type="dxa" w:w="21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Omitted one element, condition, or deadline.</w:t>
            </w:r>
          </w:p>
        </w:tc>
        <w:tc>
          <w:tcPr>
            <w:tcW w:type="dxa" w:w="19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Answer-completeness checks were added.</w:t>
            </w:r>
          </w:p>
        </w:tc>
        <w:tc>
          <w:tcPr>
            <w:tcW w:type="dxa" w:w="13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Average metrics can hide operationally important omissions.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False-premise questions</w:t>
            </w:r>
          </w:p>
        </w:tc>
        <w:tc>
          <w:tcPr>
            <w:tcW w:type="dxa" w:w="23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Could correct the premise and cite evidence.</w:t>
            </w:r>
          </w:p>
        </w:tc>
        <w:tc>
          <w:tcPr>
            <w:tcW w:type="dxa" w:w="21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Automated labels could confuse false premise with refusal.</w:t>
            </w:r>
          </w:p>
        </w:tc>
        <w:tc>
          <w:tcPr>
            <w:tcW w:type="dxa" w:w="19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False-premise questions were kept as a separate category.</w:t>
            </w:r>
          </w:p>
        </w:tc>
        <w:tc>
          <w:tcPr>
            <w:tcW w:type="dxa" w:w="13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These questions should not be merged with ordinary unanswerable questions.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Current or operational facts outside corpus</w:t>
            </w:r>
          </w:p>
        </w:tc>
        <w:tc>
          <w:tcPr>
            <w:tcW w:type="dxa" w:w="23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Refused after calibration.</w:t>
            </w:r>
          </w:p>
        </w:tc>
        <w:tc>
          <w:tcPr>
            <w:tcW w:type="dxa" w:w="21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Earlier system answered from nearby general text.</w:t>
            </w:r>
          </w:p>
        </w:tc>
        <w:tc>
          <w:tcPr>
            <w:tcW w:type="dxa" w:w="19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A stricter refusal rule and separate refusal test were added.</w:t>
            </w:r>
          </w:p>
        </w:tc>
        <w:tc>
          <w:tcPr>
            <w:tcW w:type="dxa" w:w="13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Refusal calibration is central for regulatory safety.</w:t>
            </w:r>
          </w:p>
        </w:tc>
      </w:tr>
      <w:tr>
        <w:trPr>
          <w:cantSplit/>
        </w:trPr>
        <w:tc>
          <w:tcPr>
            <w:tcW w:type="dxa" w:w="1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AI-authored prospective-test questions</w:t>
            </w:r>
          </w:p>
        </w:tc>
        <w:tc>
          <w:tcPr>
            <w:tcW w:type="dxa" w:w="23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Confirmed strong answerable-question behavior.</w:t>
            </w:r>
          </w:p>
        </w:tc>
        <w:tc>
          <w:tcPr>
            <w:tcW w:type="dxa" w:w="21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Refusal correctness dropped to 0.700.</w:t>
            </w:r>
          </w:p>
        </w:tc>
        <w:tc>
          <w:tcPr>
            <w:tcW w:type="dxa" w:w="19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Refusal was repaired using separate development data.</w:t>
            </w:r>
          </w:p>
        </w:tc>
        <w:tc>
          <w:tcPr>
            <w:tcW w:type="dxa" w:w="13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AI-authored prospective testing changed the project story.</w:t>
            </w:r>
          </w:p>
        </w:tc>
      </w:tr>
    </w:tbl>
    <w:p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Supplementary Table S2. Expanded representative answer outcomes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center"/>
        <w:tblLayout w:type="autofit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Question type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Example question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System behavior</w:t>
            </w:r>
          </w:p>
        </w:tc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Interpretation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Correct answer, pharmacovigilance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Which minimum information makes a notification valid and reportable?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Retrieved RDC 406/2020, Art. 32 and listed the minimum elements.</w:t>
            </w:r>
          </w:p>
        </w:tc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Correct source and correct main answer.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Correct false-premise handling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Is a notification valid without patient identification if the suspected medicine is named?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Answered no and cited RDC 406/2020, Art. 32.</w:t>
            </w:r>
          </w:p>
        </w:tc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Useful because it corrected the premise.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Correct clinical-trial safety answer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Does possible SUSAR reporting allow unblinding all participants?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Answered no; unblinding is limited to the affected participant and cited RDC 945/2024, Art. 67.</w:t>
            </w:r>
          </w:p>
        </w:tc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Correct and relevant to trial conduct.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Correct refusal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What is the current MedDRA version required today?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Refused because the indexed documents mention MedDRA but not the current required version.</w:t>
            </w:r>
          </w:p>
        </w:tc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Appropriate refusal for current operational information.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Correct refusal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What is the current phone number for Anvisa support for the adverse-event notification system?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Refused because the corpus does not contain current support contact information.</w:t>
            </w:r>
          </w:p>
        </w:tc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Appropriate evidence boundary.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Incomplete answer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What information must appear for non-printed instructions for use?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Retrieved RDC 751/2022, Art. 51 but omitted that instructions must remain available while the product is on the market.</w:t>
            </w:r>
          </w:p>
        </w:tc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Correct article, incomplete answer.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Incomplete answer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Can a foreign-manufactured biological product be registered without registration in the manufacturing country?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Gave the exception but did not clearly state the general rule.</w:t>
            </w:r>
          </w:p>
        </w:tc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Risk of treating an exception as the whole rule.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False refusal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Under RDC 945/2024, until when must DSURs be sent to Anvisa and what is the annual reference date?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Refused in one English prospective-test row although the corpus contained the answer.</w:t>
            </w:r>
          </w:p>
        </w:tc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Retrieval or answer threshold failure.</w:t>
            </w:r>
          </w:p>
        </w:tc>
      </w:tr>
      <w:tr>
        <w:trPr>
          <w:cantSplit/>
        </w:trPr>
        <w:tc>
          <w:tcPr>
            <w:tcW w:type="dxa" w:w="18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Refusal failure before calibration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What is the current electronic form model for notifying SUSARs to Anvisa?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Earlier AI-authored prospective testing sometimes answered with the general electronic-notification requirement.</w:t>
            </w:r>
          </w:p>
        </w:tc>
        <w:tc>
          <w:tcPr>
            <w:tcW w:type="dxa" w:w="21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Related context was mistaken for sufficient evidence.</w:t>
            </w:r>
          </w:p>
        </w:tc>
      </w:tr>
    </w:tbl>
    <w:p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Supplementary Table S3. Evaluation-stage summary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center"/>
        <w:tblLayout w:type="autofit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Stage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Main finding</w:t>
            </w:r>
          </w:p>
        </w:tc>
        <w:tc>
          <w:tcPr>
            <w:tcW w:type="dxa" w:w="39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Use in interpretation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Initial held-out evaluation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English completeness was the weak point; some answers omitted list items, conditions, or exceptions.</w:t>
            </w:r>
          </w:p>
        </w:tc>
        <w:tc>
          <w:tcPr>
            <w:tcW w:type="dxa" w:w="39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Development diagnosis.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Post-repair internal evaluation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High internal scores showed that the repaired system passed the curated benchmark.</w:t>
            </w:r>
          </w:p>
        </w:tc>
        <w:tc>
          <w:tcPr>
            <w:tcW w:type="dxa" w:w="39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Internal technical check, not independent validation.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AI-authored prospective stress test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Answerable questions were mostly supported, but refusal behavior was weak.</w:t>
            </w:r>
          </w:p>
        </w:tc>
        <w:tc>
          <w:tcPr>
            <w:tcW w:type="dxa" w:w="39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Diagnostic prospective evidence that changed the project focus.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Refusal-focused AI-authored test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Refusal improved after separate calibration, with no over-refusal on answerable controls.</w:t>
            </w:r>
          </w:p>
        </w:tc>
        <w:tc>
          <w:tcPr>
            <w:tcW w:type="dxa" w:w="39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Focused AI-authored check of refusal calibration.</w:t>
            </w:r>
          </w:p>
        </w:tc>
      </w:tr>
    </w:tbl>
    <w:p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Supplementary Table S4. Main-table disposition after revision</w:t>
      </w:r>
    </w:p>
    <w:tbl>
      <w:tblPr>
        <w:tblStyle w:val="TableGrid"/>
        <w:tblW w:type="dxa" w:w="9360"/>
        <w:tblLook w:firstColumn="1" w:firstRow="1" w:lastColumn="0" w:lastRow="0" w:noHBand="0" w:noVBand="1" w:val="04A0"/>
        <w:jc w:val="center"/>
        <w:tblLayout w:type="autofit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Original table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Revision decision</w:t>
            </w:r>
          </w:p>
        </w:tc>
        <w:tc>
          <w:tcPr>
            <w:tcW w:type="dxa" w:w="39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16"/>
              </w:rPr>
              <w:t>Reason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Table 1. Regulatory domains represented in the corpus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Replaced with a shorter corpus-and-use-case table.</w:t>
            </w:r>
          </w:p>
        </w:tc>
        <w:tc>
          <w:tcPr>
            <w:tcW w:type="dxa" w:w="39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Reduces page splitting and overlaps less with Figure 2.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Table 2. Question categories and corrective actions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Condensed in the main text and expanded as Supplementary Table S1.</w:t>
            </w:r>
          </w:p>
        </w:tc>
        <w:tc>
          <w:tcPr>
            <w:tcW w:type="dxa" w:w="39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Full version was too dense for the main manuscript.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Table 3. Representative examples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Condensed in the main text and expanded as Supplementary Table S2.</w:t>
            </w:r>
          </w:p>
        </w:tc>
        <w:tc>
          <w:tcPr>
            <w:tcW w:type="dxa" w:w="39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Keeps the story visible while moving audit-level detail to the supplement.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Table 4. Summary of evaluation stages</w:t>
            </w:r>
          </w:p>
        </w:tc>
        <w:tc>
          <w:tcPr>
            <w:tcW w:type="dxa" w:w="270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Removed from the main text and moved to Supplementary Table S3.</w:t>
            </w:r>
          </w:p>
        </w:tc>
        <w:tc>
          <w:tcPr>
            <w:tcW w:type="dxa" w:w="3960"/>
            <w:tcMar>
              <w:top w:w="90" w:type="dxa"/>
              <w:start w:w="90" w:type="dxa"/>
              <w:bottom w:w="90" w:type="dxa"/>
              <w:end w:w="90" w:type="dxa"/>
            </w:tcMar>
            <w:vAlign w:val="center"/>
          </w:tcPr>
          <w:p>
            <w:pPr>
              <w:spacing w:after="0" w:line="240" w:lineRule="auto" w:before="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16"/>
              </w:rPr>
              <w:t>Redundant with Figure 3A and Figure 3B.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4"/>
        </w:rPr>
        <w:t>Supplementary Table S5. Decision trace from course notebooks to final ANVISA RAG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6"/>
              </w:rPr>
              <w:t>Stage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6"/>
              </w:rPr>
              <w:t>Local evidence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6"/>
              </w:rPr>
              <w:t>Main decision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6"/>
              </w:rPr>
              <w:t>Effect on final system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Course notebook 1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Downloads/1_LLM.ipynb; notebooks/1_LLM.ipynb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Use Python project scaffold with environment, config, model loader, engine, and main loop.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Final repository kept separated configuration, model loading, engine, and app modules.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Course notebook 2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Downloads/2_chatbot.ipynb; notebooks/2_chatbot.ipynb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Add chatbot behavior and system prompt.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Final app kept an interactive question-answer interface.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Course notebook 3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Downloads/3_rag.ipynb; notebooks/3_rag.ipynb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Adapt simple RAG from generic text to selected ANVISA documents.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The corpus became closed and regulatory rather than generic.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Borrowed Shenia source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src_RAG_Shenia/engine.py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Evaluate semantic splitting, HyDE, reranking, and chat memory ideas.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Reranking was retained conceptually; the final system used article-aware regulatory indexing instead.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First ANVISA implementation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/Users/cmontefusco/Coding_projects/Rag_project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Build ANVISA app and index ANVISA text files.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This recovered folder is the best local ancestor of the publication repository.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Publication pipeline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src/article_chunking.py; src/retrieval.py; src/prompts.py; evaluation/publication_eval.py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Add cleaning, article chunks, hybrid retrieval, reranking, bilingual anchors, citation/refusal rules, and AI judging.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The final claim became closed-corpus traceable information access, not regulatory advice.</w:t>
            </w:r>
          </w:p>
        </w:tc>
      </w:tr>
    </w:tbl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4"/>
        </w:rPr>
        <w:t>Supplementary Table S6. Investigation of saturated internal metrics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6"/>
              </w:rPr>
              <w:t>Observation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6"/>
              </w:rPr>
              <w:t>Why it was suspicious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6"/>
              </w:rPr>
              <w:t>Investigation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color w:val="000000"/>
                <w:sz w:val="16"/>
              </w:rPr>
              <w:t>Reliability interpretation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Internal refusal correctness was 1.000.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The benchmark and repairs were produced during development.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Ran an AI-authored prospective stress test once after freezing.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The internal value was not used as proof of general refusal reliability.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Post-repair values approached 1.000.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Repair sets were not paired repeats and followed error review.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Reported Figure 3A as development history.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These values show controlled repair of known failure modes.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Prospective faithfulness was also 1.000.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Faithfulness can saturate for short cited answers.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Reported completeness, citation correctness, retrieval, and examples beside faithfulness.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Faithfulness alone does not rule out incomplete answers.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Prospective refusal correctness was 0.700.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This contradicted internal refusal correctness of 1.000.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Reviewed failures involving related but insufficient context.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This was evidence that internal 1.000 metrics were too narrow.</w:t>
            </w:r>
          </w:p>
        </w:tc>
      </w:tr>
      <w:tr>
        <w:trPr>
          <w:cantSplit/>
        </w:trPr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Refusal-focused test reached 0.944.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A high post-calibration value can still be overread.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Reported answerable-control completeness of 0.908.</w:t>
            </w:r>
          </w:p>
        </w:tc>
        <w:tc>
          <w:tcPr>
            <w:tcW w:type="dxa" w:w="23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/>
                <w:color w:val="000000"/>
                <w:sz w:val="16"/>
              </w:rPr>
              <w:t>Refusal improved, but completeness trade-offs remain.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sz w:val="24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sz w:val="24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pacing w:val="5"/>
      <w:kern w:val="28"/>
      <w:sz w:val="2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sz w:val="24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sz w:val="24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24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24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sz w:val="24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4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00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000000"/>
      <w:sz w:val="24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24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sz w:val="24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sz w:val="24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sz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sz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sz w:val="24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