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Table 2. Development decisions made after observed failures.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Observed problem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Evidence from testing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Change made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Reason for regulatory use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Source text was noisy or poorly structured.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Early app tests and corpus review showed formatting artifacts and document-label problems.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Cleaned source text and verified document identity before indexing.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 regulatory answer is only useful if the cited source is identifiable.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Arbitrary chunks did not match legal structure.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Correct documents were sometimes nearby but answers missed article-level conditions.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Rebuilt the index with article-aware chunks and article metadata.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Users need checkable article citations, not only semantically similar passages.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Dense retrieval alone was weak for exact legal terms.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Terms such as DDCM, RDC numbers, article numbers, and IN 338/2024 required exact matching.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Added BM25 retrieval, reciprocal-rank fusion, and reranking.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Regulatory questions often depend on exact terms and article labels.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English questions over Portuguese documents lost completeness.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Initial English completeness was lower than Portuguese completeness.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Added conservative Portuguese retrieval anchors while preserving answer language.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International users may ask in English while the source corpus remains Portuguese.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The system answered from related but insufficient context.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AI-authored prospective stress testing showed refusal correctness of 0.700.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Tightened the refusal rule and tested a separate refusal-focused AI-authored set.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 related article is not enough when the specific requested fact is absent.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color w:val="000000"/>
                <w:sz w:val="20"/>
              </w:rPr>
              <w:t>Internal 1.000 values looked too high.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color w:val="000000"/>
                <w:sz w:val="20"/>
              </w:rPr>
              <w:t>Internal refusal correctness reached 1.000 after targeted development.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color w:val="000000"/>
                <w:sz w:val="20"/>
              </w:rPr>
              <w:t>Ran an AI-authored prospective stress test and interpreted the internal values as technical checks, not validation proof.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color w:val="000000"/>
                <w:sz w:val="20"/>
              </w:rPr>
              <w:t>Perfect internal metrics can be a warning sign when benchmark construction, repair, and judging are not fully independent.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