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further replacement submissions, one received pair still overlaps earlier questions; a separate alternative draft and the latest three pairs await personal author review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pPr>
        <w:pStyle w:val="Heading2"/>
        <w:pageBreakBefore/>
      </w:pPr>
      <w:r>
        <w:t>DR1 and DR13 Screening of replacement questions</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w:t>
      </w:r>
    </w:p>
    <w:p>
      <w:r>
        <w:t>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w:t>
      </w:r>
    </w:p>
    <w:p>
      <w:r>
        <w:t>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pPr>
        <w:pStyle w:val="Heading2"/>
        <w:pageBreakBefore/>
      </w:pPr>
      <w:r>
        <w:t>DR1 and DR13 Further question screening and pending review</w:t>
      </w:r>
    </w:p>
    <w:p>
      <w:r>
        <w:t>A further six-row submission received on 29 October 2026 replaced AV_002, AV_012 and AV_015. Its accompanying note explicitly states that these questions and references were AI-authored by Claude and that Howard had not personally reviewed them. The AI self-review date is not treated as a human review date. Earlier approvals apply to earlier versions and were not transferred to this new content. The submitted files remain unchanged, with a separate 40-row received-version candidate.</w:t>
      </w:r>
    </w:p>
    <w:p>
      <w:r>
        <w:t>Required-field and normalized quotation checks passed for all six submitted rows. AI-assisted semantic screening found no substantive reuse for AV_012 (archived RDC 55/2010 Art. 19, extrapolation to other indications) or AV_015 (archived RDC 406/2020 Art. 45, updates to the Risk Management Plan and an unavailable submission deadline). Submitted AV_002 still asks about GCP-inspection measures already covered by DIRECT_01, DIRECT_68 and DR8_DIRECT_01. The received candidate therefore has 19 pairs with no substantive reuse identified, not a completed or independently certified novel test.</w:t>
      </w:r>
    </w:p>
    <w:p>
      <w:r>
        <w:t>A separate Codex-authored alternative for AV_002 asks about archived RDC 945/2024 Art. 18: adequacy of trial-site infrastructure, equipment, instruments and human resources, suitability for the trial population, compliance with health-service regulations, and extension of these conditions to contracted external services. The quotations were checked against the archived text. No substantive reuse was identified against the 372-record development registry or earlier candidate versions. The alternative is labeled as an AI draft after benchmark exposure, not as Howard-authored or approved. A proposed 40-row set includes this alternative separately from the received submission.</w:t>
      </w:r>
    </w:p>
    <w:p>
      <w:r>
        <w:t>Howard must personally review the actual AV_002 alternative and the new AV_012 and AV_015 questions, translations, references and classifications, with his actual review date recorded. The proposed set remains unfrozen; absence-search and source-eligibility scope must be reconciled with the six-document frozen index before execution. No generation or judge calls were made and no selection used new model outcomes. AI-assisted overlap screening and author review cannot establish independent validation or present-law accuracy.</w:t>
      </w:r>
    </w:p>
    <w:p>
      <w:pPr>
        <w:pStyle w:val="Heading2"/>
        <w:pageBreakBefore/>
      </w:pPr>
      <w:r>
        <w:t>DR1 and DR13 Approved prospective inputs frozen before generation</w:t>
      </w:r>
    </w:p>
    <w:p>
      <w:r>
        <w:t>The corresponding author confirmed that Howard personally reviewed and approved AV_002 in its final RDC 945/2024 Article 18 facilities version, together with final AV_012 and AV_015, on 29 October 2026. This approval applies to the exact final six rows and is stored separately from the unchanged submitted note, which described an earlier pending-review status. Earlier approvals apply to the retained versions of the other 17 pairs. AI authorship and prior benchmark exposure remain disclosed; Howard is not described as the independent author of the questions.</w:t>
      </w:r>
    </w:p>
    <w:p>
      <w:r>
        <w:t>The 40-row question and reference set was frozen on 30 October 2026, before validation answers. The sample contains 20 Portuguese–English pairs: 12 answerable, four partly answerable and four unanswerable. All 98 supplied support fragments were located after normalization in the archived texts. The five source texts eligible for reference evidence exclude RDC 9/2015 and the previously listed wholly revoked RDC 55/2010 articles. The unchanged operational index still contains six documents and 481 nodes. Each question names the archived regulation in scope; support solely from a different or historical regulation does not satisfy that reference scope. Additional term searches across all six archived documents found no relevant missing-detail values in this screen and are retained with their contexts, without treating keyword absence as proof of corpus completeness. Later reference challenges must be reported as separate overlays, preserving the frozen input version.</w:t>
      </w:r>
    </w:p>
    <w:p>
      <w:r>
        <w:t>The original question-authoring plan was not fulfilled: Claude wrote the submitted questions and Codex drafted the final AV_002 alternative after development exposure, followed by Howard’s review. This is a documented authoring departure before generation. The frozen code, glossary, QA template and index match the five preparation-stage hashes. The proposed execution is one raw answer per row with gemini-3.5-flash-lite at temperature 0.2, fixed retrieval, no citation repair, no answer normalization and no tuning or question replacement based on results. Howard will assess exact selected evidence and generated answers before any new automated scores are shared. This preparation stage preceded explicit authorization and the completed 40-call run described below. Independent generalization, present-law correctness and the remaining historical rating disputes are not established by input preparation.</w:t>
      </w:r>
    </w:p>
    <w:p>
      <w:pPr>
        <w:pStyle w:val="Heading2"/>
        <w:pageBreakBefore/>
      </w:pPr>
      <w:r>
        <w:t>DR1 and DR13 Frozen answer generation completed</w:t>
      </w:r>
    </w:p>
    <w:p>
      <w:r>
        <w:t>After explicit authorization of the exact frozen payload, we generated all 40 answers on 30 October 2026 using gemini-3.5-flash-lite at temperature 0.2. All 40 calls returned HTTP 200 and a nonempty answer; no retries, citation repairs or automated evaluations were used. Each raw response, actual model identifier and prompt hash was saved. The execution-input and local model/vector-asset hashes remained unchanged. No question, reference, label or prompt was replaced after seeing an answer.</w:t>
      </w:r>
    </w:p>
    <w:p>
      <w:r>
        <w:t>This establishes completion of the planned generation stage, not accuracy. We prepared an unrated 40-row human-review file containing the exact answers, selected evidence and frozen references. Howard will assess full-task completeness separately from appropriateness given the selected evidence before any new automated scores are produced. Initial ratings and later adjudication will remain separate. Human ratings, pair-level results and their confidence intervals are pending; we therefore make no new success-rate or generalization claim. AI authorship, development exposure, the departure from the human-authorship plan and archived-source scope remain disclosed.</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