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Methods. Six ANVISA documents were indexed for bilingual retrieval and answer generation. Evaluations comprised 150 internal questions (75 bilingual 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 in content. An AI judge scored answer quality and refusal. We calculated 95% percentile bootstrap confidence intervals by resampling question pairs. An AI-assisted, unblinded coauthor review covered 94 selected historical outputs.</w:t>
      </w:r>
    </w:p>
    <w:p>
      <w:pPr/>
      <w:r>
        <w:t>Results. The index contained 382 articles and 481 chunks. Among 40 originally answerable stress-assessment outputs, mean completeness was 0.943 (95% CI 0.873–0.990) and citation correctness was 0.975 (0.925–1.000). After corresponding-author adjudication, appropriate refusals in the reviewed unanswerable strata were 4/4 stress outputs and 12/12 post-calibration outputs (2/2 and 6/6 bilingual pairs; exact pair-level 95% CIs 15.8–100.0% and 54.1–100.0%). Six outputs were reclassified answerable and twelve partly answerable. These are descriptive findings from AI-assisted, unblinded author review of development assessments; independent blinded validation remains outstanding.</w:t>
      </w:r>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t>Development history and software provenance are provided in Supplementary Table S5 and the supplementary development provenance record.</w:t>
      </w:r>
    </w:p>
    <w:p>
      <w:pPr/>
      <w: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Benchmark. The constructed main benchmark contained 200 question rows organized as 100 Portuguese–English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pStyle w:val="Heading1"/>
      </w:pPr>
      <w:r>
        <w:t>Results</w:t>
      </w:r>
    </w:p>
    <w:p>
      <w:pPr>
        <w:pStyle w:val="Heading2"/>
      </w:pPr>
      <w:r>
        <w:t>Corpus and benchmark construction</w:t>
      </w:r>
    </w:p>
    <w:p>
      <w:pPr/>
      <w: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t>Retrieval baselines and component ablations</w:t>
      </w:r>
    </w:p>
    <w:p>
      <w:pPr/>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AI-authored diagnostic stress test</w:t>
      </w:r>
    </w:p>
    <w:p>
      <w:pPr/>
      <w: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The same test exposed refusal behavior as the main remaining weakness. Literal refusal detection for unanswerable/adversarial questions was 0.600, and AI-judge refusal correctness was 7/10 (0.700; 95% pair-cluster bootstrap CI 0.300–1.000;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In the later refusal-focused AI-authored test, the system correctly refused 17 of 18 unanswerable questions by AI-judge scoring, giving refusal correctness 0.944 (95% pair-cluster bootstrap CI 0.833–1.000; nine pairs), using the archived labels before the subsequent author adjudication reported below. It did not over-refuse the answerable controls: answerable-control faithfulness was 1.000, citation correctness was 1.000, and completeness was 0.908 (95% CI 0.792–1.000;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t>Author verification of selected outputs</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t>Summary of quantitative evaluation</w:t>
      </w:r>
    </w:p>
    <w:p>
      <w:pPr/>
      <w: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p>
    <w:p>
      <w:r>
        <w:t>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p>
    <w:p>
      <w:pPr/>
      <w:r>
        <w:t>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Proposed references remain separate and unapproved, with no corrected performance estimate. Supplementary audit S28 reports the checks and failed full-source capture attempts; current-law validity remains unresolved.</w:t>
      </w:r>
    </w:p>
    <w:p>
      <w: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2"/>
        </w:rPr>
        <w:t>1. Lewis P, Perez E, Piktus A, et al. Retrieval-Augmented Generation for Knowledge-Intensive NLP Tasks. Advances in Neural Information Processing Systems. 2020;33:9459-9474.</w:t>
      </w:r>
    </w:p>
    <w:p>
      <w:pPr>
        <w:spacing w:after="0" w:line="240" w:lineRule="auto" w:before="0"/>
      </w:pPr>
      <w:r>
        <w:rPr>
          <w:sz w:val="22"/>
        </w:rPr>
        <w:t>2. Proestel S, Jeng LJB, Smith C, et al. Semantic Search of FDA Guidance Documents Using Generative AI. Ther Innov Regul Sci. 2025;59(5):1148-1159. doi:10.1007/s43441-025-00798-8.</w:t>
      </w:r>
    </w:p>
    <w:p>
      <w:pPr>
        <w:spacing w:after="0" w:line="240" w:lineRule="auto" w:before="0"/>
      </w:pPr>
      <w:r>
        <w:rPr>
          <w:sz w:val="22"/>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2"/>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sz w:val="22"/>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sz w:val="22"/>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sz w:val="22"/>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sz w:val="22"/>
        </w:rPr>
        <w:t>8. Agência Nacional de Vigilância Sanitária. Resolução RDC No. 9, de 20 de fevereiro de 2015. Regulation for clinical trials with medicines in Brazil. AnvisaLegis. Accessed 19 July 2026.</w:t>
      </w:r>
    </w:p>
    <w:p>
      <w:pPr>
        <w:spacing w:after="0" w:line="240" w:lineRule="auto" w:before="0"/>
      </w:pPr>
      <w:r>
        <w:rPr>
          <w:sz w:val="22"/>
        </w:rPr>
        <w:t>9. Gao Y, Xiong Y, Gao X, et al. Retrieval-Augmented Generation for Large Language Models: A Survey. arXiv. 2023. doi:10.48550/arXiv.2312.10997.</w:t>
      </w:r>
    </w:p>
    <w:p>
      <w:pPr>
        <w:spacing w:after="0" w:line="240" w:lineRule="auto" w:before="0"/>
      </w:pPr>
      <w:r>
        <w:rPr>
          <w:sz w:val="22"/>
        </w:rPr>
        <w:t>10. Es S, James J, Espinosa-Anke L, Schockaert S. RAGAS: Automated Evaluation of Retrieval Augmented Generation. arXiv. 2023. doi:10.48550/arXiv.2309.15217.</w:t>
      </w:r>
    </w:p>
    <w:p>
      <w:pPr>
        <w:spacing w:after="0" w:line="240" w:lineRule="auto" w:before="0"/>
      </w:pPr>
      <w:r>
        <w:rPr>
          <w:sz w:val="22"/>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2"/>
        </w:rPr>
        <w:t>12. Robertson S, Zaragoza H. The Probabilistic Relevance Framework: BM25 and Beyond. Foundations and Trends in Information Retrieval. 2009;3(4):333-389. doi:10.1561/1500000019.</w:t>
      </w:r>
    </w:p>
    <w:p>
      <w:pPr>
        <w:spacing w:after="0" w:line="240" w:lineRule="auto" w:before="0"/>
      </w:pPr>
      <w:r>
        <w:rPr>
          <w:sz w:val="22"/>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2"/>
        </w:rPr>
        <w:t>14. LlamaIndex. LlamaIndex: a data framework for LLM applications. GitHub repository. https://github.com/run-llama/llama_index. Accessed 21 July 2026.</w:t>
      </w:r>
    </w:p>
    <w:p>
      <w:pPr>
        <w:spacing w:after="0" w:line="240" w:lineRule="auto" w:before="0"/>
      </w:pPr>
      <w:r>
        <w:rPr>
          <w:sz w:val="22"/>
        </w:rPr>
        <w:t>15. Google AI for Developers. Gemini API models and GenerateContentResponse reference. https://ai.google.dev/gemini-api/docs/models; https://ai.google.dev/api/generate-content. Accessed 24 October 2026.</w:t>
      </w:r>
    </w:p>
    <w:p>
      <w:pPr>
        <w:spacing w:after="0" w:line="240" w:lineRule="auto" w:before="0"/>
      </w:pPr>
      <w:r>
        <w:rPr>
          <w:sz w:val="22"/>
        </w:rPr>
        <w:t>16. Chang Y, Wang X, Wang J, et al. A Survey on Evaluation of Large Language Models. ACM Transactions on Intelligent Systems and Technology. 2024;15(3). doi:10.1145/3641289.</w:t>
      </w:r>
    </w:p>
    <w:p>
      <w:pPr>
        <w:spacing w:after="0" w:line="240" w:lineRule="auto" w:before="0"/>
      </w:pPr>
      <w:r>
        <w:rPr>
          <w:sz w:val="22"/>
        </w:rPr>
        <w:t>17. Zheng L, Chiang WL, Sheng Y, et al. Judging LLM-as-a-Judge with MT-Bench and Chatbot Arena. Advances in Neural Information Processing Systems. 2023;36.</w:t>
      </w:r>
    </w:p>
    <w:p>
      <w:pPr>
        <w:spacing w:after="0" w:line="240" w:lineRule="auto" w:before="0"/>
      </w:pPr>
      <w:r>
        <w:rPr>
          <w:sz w:val="22"/>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sz w:val="22"/>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sz w:val="22"/>
        </w:rPr>
        <w:t>20. Sentence Transformers. all-MiniLM-L6-v2 model card. https://huggingface.co/sentence-transformers/all-MiniLM-L6-v2. Accessed 25 October 2026.</w:t>
      </w:r>
    </w:p>
    <w:p>
      <w:pPr>
        <w:spacing w:after="0" w:line="240" w:lineRule="auto" w:before="0"/>
      </w:pPr>
      <w:r>
        <w:rPr>
          <w:sz w:val="22"/>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