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Bilingual Retrieval-Augmented Access to ANVISA Regulatory Documents: A Technical Evaluation Using Drug-Development and Health-Product Questions</w:t>
      </w:r>
    </w:p>
    <w:p>
      <w:pPr/>
      <w:r>
        <w:rPr>
          <w:rFonts w:ascii="Arial" w:hAnsi="Arial" w:eastAsia="Arial" w:cs="Arial"/>
          <w:color w:val="000000"/>
        </w:rPr>
        <w:t>Authors: Carlos Victor Montefusco-Pereira1*, Howard Lopes Ribeiro Junior2</w:t>
      </w:r>
    </w:p>
    <w:p>
      <w:pPr/>
      <w:r>
        <w:rPr>
          <w:rFonts w:ascii="Arial" w:hAnsi="Arial" w:eastAsia="Arial" w:cs="Arial"/>
          <w:color w:val="000000"/>
        </w:rPr>
        <w:t>1 Independent Researcher in Data Science and Artificial Intelligence in Industrial Pharmaceutics, Berlin, Germany</w:t>
      </w:r>
    </w:p>
    <w:p>
      <w:pPr/>
      <w:r>
        <w:rPr>
          <w:rFonts w:ascii="Arial" w:hAnsi="Arial" w:eastAsia="Arial" w:cs="Arial"/>
          <w:color w:val="000000"/>
        </w:rP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rPr>
          <w:rFonts w:ascii="Arial" w:hAnsi="Arial" w:eastAsia="Arial" w:cs="Arial"/>
          <w:color w:val="000000"/>
        </w:rPr>
        <w:t>ORCID: Carlos Victor Montefusco-Pereira, 0000-0003-4167-4653; Howard Lopes Ribeiro Junior, 0000-0003-2431-4779</w:t>
      </w:r>
    </w:p>
    <w:p>
      <w:pPr/>
      <w:r>
        <w:rPr>
          <w:rFonts w:ascii="Arial" w:hAnsi="Arial" w:eastAsia="Arial" w:cs="Arial"/>
          <w:color w:val="000000"/>
        </w:rPr>
        <w:t>Corresponding author: Carlos Victor Montefusco-Pereira. Friedrich-Wilhelm 28, 12103 Berlin, Germany. Email: cmontefusco@gmail.com. Phone: +49 15168108538.</w:t>
      </w:r>
    </w:p>
    <w:p>
      <w:pPr/>
      <w:r>
        <w:rPr>
          <w:rFonts w:ascii="Arial" w:hAnsi="Arial" w:eastAsia="Arial" w:cs="Arial"/>
          <w:color w:val="000000"/>
        </w:rPr>
        <w:t>Keywords: regulatory science; ANVISA; retrieval-augmented generation; clinical trials; pharmacovigilance; biological products and medical devices</w:t>
      </w:r>
    </w:p>
    <w:p>
      <w:pPr/>
      <w:r>
        <w:rPr>
          <w:rFonts w:ascii="Arial" w:hAnsi="Arial" w:eastAsia="Arial" w:cs="Arial"/>
          <w:color w:val="000000"/>
        </w:rP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rPr>
          <w:rFonts w:ascii="Arial" w:hAnsi="Arial" w:eastAsia="Arial" w:cs="Arial"/>
          <w:color w:val="000000"/>
        </w:rPr>
        <w:t>Abstract</w:t>
      </w:r>
    </w:p>
    <w:p>
      <w:pPr/>
      <w:r>
        <w:rPr>
          <w:rFonts w:ascii="Arial" w:hAnsi="Arial" w:eastAsia="Arial" w:cs="Arial"/>
          <w:color w:val="000000"/>
        </w:rPr>
        <w:t>Background. Regulatory teams often need to interpret long health-authority documents while working across languages. In Brazil, many regulatory sources are published in Portuguese, while companies and scientists may ask questions in English.</w:t>
      </w:r>
    </w:p>
    <w:p>
      <w:pPr/>
      <w:r>
        <w:rPr>
          <w:rFonts w:ascii="Arial" w:hAnsi="Arial" w:eastAsia="Arial" w:cs="Arial"/>
          <w:color w:val="000000"/>
        </w:rPr>
        <w:t>Objective. To evaluate whether a bilingual retrieval-augmented generation prototype could locate, cite, and summarize selected ANVISA regulatory requirements relevant to drug development and health-product regulation.</w:t>
      </w:r>
    </w:p>
    <w:p>
      <w:pPr/>
      <w:r>
        <w:rPr>
          <w:rFonts w:ascii="Arial" w:hAnsi="Arial" w:eastAsia="Arial" w:cs="Arial"/>
          <w:color w:val="000000"/>
        </w:rPr>
        <w:t>Methods. Six regulatory documents were indexed. Historical assessments produced 404 outputs: 150 internal questions, 75 English and 75 Portuguese repair outputs, 50 stress questions, 24 calibration questions and 30 post-calibration questions. Stages overlapped. An automated judge scored these outputs, with subsequent coauthor review of 94 selected answers. A further frozen author-led assessment comprised 40 questions in 20 bilingual pairs, all rated against their exact retrieved passages. Pair success required both languages to satisfy prespecified task and language criteria; 95% intervals were calculated at pair level.</w:t>
      </w:r>
    </w:p>
    <w:p>
      <w:pPr/>
      <w:r>
        <w:rPr>
          <w:rFonts w:ascii="Arial" w:hAnsi="Arial" w:eastAsia="Arial" w:cs="Arial"/>
          <w:color w:val="000000"/>
        </w:rPr>
        <w:t>Results. The index contained 382 articles and 481 chunks. Historical stress-assessment completeness averaged 0.943 among 40 answerable outputs (95% CI 0.873 to 0.990). In the frozen assessment, 10/20 pairs succeeded (50.0%; exact 95% CI 27.2 to 72.8%): 6/12 answerable, 0/4 partly answerable and 4/4 unanswerable pairs. Five English outputs were in Portuguese. Failures included missing retrieved provisions, supported information omitted by blanket refusals, and a cited answer to the wrong task.</w:t>
      </w:r>
    </w:p>
    <w:p>
      <w:pPr/>
      <w:r>
        <w:rPr>
          <w:rFonts w:ascii="Arial" w:hAnsi="Arial" w:eastAsia="Arial" w:cs="Arial"/>
          <w:color w:val="000000"/>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rPr>
          <w:rFonts w:ascii="Arial" w:hAnsi="Arial" w:eastAsia="Arial" w:cs="Arial"/>
          <w:color w:val="000000"/>
        </w:rPr>
        <w:t>Introduction</w:t>
      </w:r>
    </w:p>
    <w:p>
      <w:pPr/>
      <w:r>
        <w:rPr>
          <w:rFonts w:ascii="Arial" w:hAnsi="Arial" w:eastAsia="Arial" w:cs="Arial"/>
          <w:color w:val="000000"/>
        </w:rP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rPr>
          <w:rFonts w:ascii="Arial" w:hAnsi="Arial" w:eastAsia="Arial" w:cs="Arial"/>
          <w:color w:val="000000"/>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rPr>
          <w:rFonts w:ascii="Arial" w:hAnsi="Arial" w:eastAsia="Arial" w:cs="Arial"/>
          <w:color w:val="000000"/>
        </w:rP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rPr>
          <w:rFonts w:ascii="Arial" w:hAnsi="Arial" w:eastAsia="Arial" w:cs="Arial"/>
          <w:color w:val="000000"/>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rPr>
          <w:rFonts w:ascii="Arial" w:hAnsi="Arial" w:eastAsia="Arial" w:cs="Arial"/>
          <w:color w:val="000000"/>
        </w:rP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Arial" w:hAnsi="Arial" w:eastAsia="Arial" w:cs="Arial"/>
          <w:color w:val="000000"/>
        </w:rPr>
        <w:t>Materials and Methods</w:t>
      </w:r>
    </w:p>
    <w:p>
      <w:pPr/>
      <w:r>
        <w:rPr>
          <w:rFonts w:ascii="Arial" w:hAnsi="Arial" w:eastAsia="Arial" w:cs="Arial"/>
          <w:color w:val="000000"/>
        </w:rP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rPr>
          <w:rFonts w:ascii="Arial" w:hAnsi="Arial" w:eastAsia="Arial" w:cs="Arial"/>
          <w:color w:val="000000"/>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rPr>
          <w:rFonts w:ascii="Arial" w:hAnsi="Arial" w:eastAsia="Arial" w:cs="Arial"/>
          <w:color w:val="000000"/>
        </w:rP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rPr>
          <w:rFonts w:ascii="Arial" w:hAnsi="Arial" w:eastAsia="Arial" w:cs="Arial"/>
          <w:color w:val="000000"/>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967/2025 for IN 338/2024, RDC 751/2022 and RDC 406/2020, respectively. Supplementary Table S9 records the source checks and their limits; whole-article exposure counts do not certify the remaining gold answers.</w:t>
      </w:r>
    </w:p>
    <w:p>
      <w:pPr/>
      <w:r>
        <w:rPr>
          <w:rFonts w:ascii="Arial" w:hAnsi="Arial" w:eastAsia="Arial" w:cs="Arial"/>
          <w:color w:val="000000"/>
        </w:rP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rPr>
          <w:rFonts w:ascii="Arial" w:hAnsi="Arial" w:eastAsia="Arial" w:cs="Arial"/>
          <w:color w:val="000000"/>
        </w:rPr>
        <w:t>Development history and software provenance are provided in Supplementary Table S5 and the supplementary development provenance record.</w:t>
      </w:r>
    </w:p>
    <w:p>
      <w:pPr/>
      <w:r>
        <w:rPr>
          <w:rFonts w:ascii="Arial" w:hAnsi="Arial" w:eastAsia="Arial" w:cs="Arial"/>
          <w:color w:val="000000"/>
        </w:rP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rPr>
          <w:rFonts w:ascii="Arial" w:hAnsi="Arial" w:eastAsia="Arial" w:cs="Arial"/>
          <w:color w:val="000000"/>
        </w:rP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rPr>
          <w:rFonts w:ascii="Arial" w:hAnsi="Arial" w:eastAsia="Arial" w:cs="Arial"/>
          <w:color w:val="000000"/>
        </w:rP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rPr>
          <w:rFonts w:ascii="Arial" w:hAnsi="Arial" w:eastAsia="Arial" w:cs="Arial"/>
          <w:color w:val="000000"/>
        </w:rP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rPr>
          <w:rFonts w:ascii="Arial" w:hAnsi="Arial" w:eastAsia="Arial" w:cs="Arial"/>
          <w:color w:val="000000"/>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rPr>
          <w:rFonts w:ascii="Arial" w:hAnsi="Arial" w:eastAsia="Arial" w:cs="Arial"/>
          <w:color w:val="000000"/>
        </w:rP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rPr>
          <w:rFonts w:ascii="Arial" w:hAnsi="Arial" w:eastAsia="Arial" w:cs="Arial"/>
          <w:color w:val="000000"/>
        </w:rP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rPr>
          <w:rFonts w:ascii="Arial" w:hAnsi="Arial" w:eastAsia="Arial" w:cs="Arial"/>
          <w:color w:val="000000"/>
        </w:rP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rPr>
          <w:rFonts w:ascii="Arial" w:hAnsi="Arial" w:eastAsia="Arial" w:cs="Arial"/>
          <w:color w:val="000000"/>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rPr>
          <w:rFonts w:ascii="Arial" w:hAnsi="Arial" w:eastAsia="Arial" w:cs="Arial"/>
          <w:color w:val="000000"/>
        </w:rPr>
        <w:t>Benchmark. The constructed main benchmark contained 200 question rows organized as 100 Portuguese, 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rPr>
          <w:rFonts w:ascii="Arial" w:hAnsi="Arial" w:eastAsia="Arial" w:cs="Arial"/>
          <w:color w:val="000000"/>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rPr>
          <w:rFonts w:ascii="Arial" w:hAnsi="Arial" w:eastAsia="Arial" w:cs="Arial"/>
          <w:color w:val="000000"/>
        </w:rP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rPr>
          <w:rFonts w:ascii="Arial" w:hAnsi="Arial" w:eastAsia="Arial" w:cs="Arial"/>
          <w:color w:val="000000"/>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rPr>
          <w:rFonts w:ascii="Arial" w:hAnsi="Arial" w:eastAsia="Arial" w:cs="Arial"/>
          <w:color w:val="000000"/>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rPr>
          <w:rFonts w:ascii="Arial" w:hAnsi="Arial" w:eastAsia="Arial" w:cs="Arial"/>
          <w:color w:val="000000"/>
        </w:rP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rPr>
          <w:rFonts w:ascii="Arial" w:hAnsi="Arial" w:eastAsia="Arial" w:cs="Arial"/>
          <w:color w:val="000000"/>
        </w:rP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rPr>
          <w:rFonts w:ascii="Arial" w:hAnsi="Arial" w:eastAsia="Arial" w:cs="Arial"/>
          <w:color w:val="000000"/>
        </w:rP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rPr>
          <w:rFonts w:ascii="Arial" w:hAnsi="Arial" w:eastAsia="Arial" w:cs="Arial"/>
          <w:color w:val="000000"/>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rPr>
          <w:rFonts w:ascii="Arial" w:hAnsi="Arial" w:eastAsia="Arial" w:cs="Arial"/>
          <w:color w:val="000000"/>
        </w:rPr>
        <w:t>Streamlit interface. The local prototype displays a question field, a generated answer and retrieved passages with citation labels. The archived smoke test answered an English question in Portuguese under a bilingual setting. It therefore documents a language failure and cannot establish bilingual deployment performance or equivalence to the scripted evaluations. Figure S4 presents an interface schematic based on this display structure, not an altered screenshot or a separate performance test.</w:t>
      </w:r>
    </w:p>
    <w:p>
      <w:r>
        <w:rPr>
          <w:rFonts w:ascii="Arial" w:hAnsi="Arial" w:eastAsia="Arial" w:cs="Arial"/>
          <w:color w:val="000000"/>
        </w:rP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rPr>
          <w:rFonts w:ascii="Arial" w:hAnsi="Arial" w:eastAsia="Arial" w:cs="Arial"/>
          <w:color w:val="000000"/>
        </w:rP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rPr>
          <w:rFonts w:ascii="Arial" w:hAnsi="Arial" w:eastAsia="Arial" w:cs="Arial"/>
          <w:color w:val="000000"/>
        </w:rP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rPr>
          <w:rFonts w:ascii="Arial" w:hAnsi="Arial" w:eastAsia="Arial" w:cs="Arial"/>
          <w:color w:val="000000"/>
        </w:rP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rPr>
          <w:rFonts w:ascii="Arial" w:hAnsi="Arial" w:eastAsia="Arial" w:cs="Arial"/>
          <w:color w:val="000000"/>
        </w:rP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rPr>
          <w:rFonts w:ascii="Arial" w:hAnsi="Arial" w:eastAsia="Arial" w:cs="Arial"/>
          <w:color w:val="000000"/>
        </w:rP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r>
        <w:rPr>
          <w:rFonts w:ascii="Arial" w:hAnsi="Arial" w:eastAsia="Arial" w:cs="Arial"/>
          <w:color w:val="000000"/>
        </w:rPr>
        <w:t>Frozen author-led assessment. Twenty bilingual pairs (40 questions: 12 answerable, four partly answerable and four unanswerable pairs) and their references, source scope and scoring plan were frozen before generation on 30 October 2026. The original six-document index and prompt produced one answer per question with gemini-3.5-flash-lite at temperature 0.2, without retries, repairs or new automated judging. Coauthor H.L.R.J. rated every answer against the exact selected passages and frozen reference. His confirmed review date was 30 October; the uploaded date of 29 October is preserved with a separate correction record. He reported no exposure to automated scores for this run. The primary endpoint required both languages of a pair to meet the prespecified category rules, including correct response language. Partly answerable questions additionally required supported information and explicit identification of the unavailable detail. Exact two-sided 95% binomial intervals were calculated at pair level. Unanswerable rows had no supported-content completeness endpoint; their raw Yes/Sufficient entries were treated as not applicable for derived completeness and retrieval summaries. The questions were AI-authored after earlier benchmark exposure and coauthor-approved, so this is reference-informed author-led assessment, not independent external validation.</w:t>
      </w:r>
    </w:p>
    <w:p>
      <w:r>
        <w:rPr>
          <w:rFonts w:ascii="Arial" w:hAnsi="Arial" w:eastAsia="Arial" w:cs="Arial"/>
          <w:color w:val="000000"/>
        </w:rPr>
        <w:t>Exploratory partial-answer prompt comparison. After inspecting the frozen-test failures, we selected all eight partly answerable questions and eight answerable plus four unanswerable controls (20 questions in ten bilingual pairs). Each question received one newly generated answer under each of two prompts, for 40 calls. Only rules 5 and 6 changed: the revised prompt permitted supported requested information with an explicit statement of the unavailable detail. Exact passages, questions, other rules, model and temperature were held fixed. The run used gemini-3.5-flash-lite at temperature 0.2, randomized interleaved order with seed 20261030, and no repairs or external judge calls. Outcomes were inspected locally with AI assistance against exact passages and frozen references, without new human ratings. This is a selected development diagnostic with one repeat per condition, not independent validation; S33 retains the protocol, outputs and adverse findings.</w:t>
      </w:r>
    </w:p>
    <w:p>
      <w:r>
        <w:rPr>
          <w:rFonts w:ascii="Arial" w:hAnsi="Arial" w:eastAsia="Arial" w:cs="Arial"/>
          <w:color w:val="000000"/>
        </w:rPr>
        <w:t>Combined evidence and instruction comparison. We subsequently tested all 40 frozen development questions, comprising 20 bilingual pairs, under the original saved condition and a combined condition, with three fresh repeats per question and condition (240 generations; S35). The combined condition retained the saved passages, appended manually selected complete relevant archived articles for the 32 answerable or partly answerable questions, and revised partial-answer, refusal, relevance, language and literal-citation instructions. Unanswerable controls received no added passages. Model and temperature remained gemini-3.5-flash-lite and 0.2; the frozen randomized order used seed 2026103101. No external judge or repair calls were made. Full-task assessment used unchanged frozen reference components, missing-detail requirements, language and citation criteria, with local unblinded AI-assisted inspection and no new human rating. Each repeat was scored by bilingual pair. Paired 95% bootstrap intervals resampled the 20 pair IDs 10000 times while retaining both languages, conditions and all repeats. This manually supplemented evidence comparison is a development diagnostic, not an evaluation of an improved retrieval system.</w:t>
      </w:r>
    </w:p>
    <w:p>
      <w:pPr>
        <w:pStyle w:val="Heading1"/>
      </w:pPr>
      <w:r>
        <w:rPr>
          <w:rFonts w:ascii="Arial" w:hAnsi="Arial" w:eastAsia="Arial" w:cs="Arial"/>
          <w:color w:val="000000"/>
        </w:rPr>
        <w:t>Results</w:t>
      </w:r>
    </w:p>
    <w:p>
      <w:pPr>
        <w:pStyle w:val="Heading2"/>
      </w:pPr>
      <w:r>
        <w:rPr>
          <w:rFonts w:ascii="Arial" w:hAnsi="Arial" w:eastAsia="Arial" w:cs="Arial"/>
          <w:color w:val="000000"/>
        </w:rPr>
        <w:t>Corpus and benchmark construction</w:t>
      </w:r>
    </w:p>
    <w:p>
      <w:pPr/>
      <w:r>
        <w:rPr>
          <w:rFonts w:ascii="Arial" w:hAnsi="Arial" w:eastAsia="Arial" w:cs="Arial"/>
          <w:color w:val="000000"/>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 to 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rPr>
          <w:rFonts w:ascii="Arial" w:hAnsi="Arial" w:eastAsia="Arial" w:cs="Arial"/>
          <w:color w:val="000000"/>
        </w:rP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rPr>
          <w:rFonts w:ascii="Arial" w:hAnsi="Arial" w:eastAsia="Arial" w:cs="Arial"/>
          <w:color w:val="000000"/>
        </w:rP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rPr>
          <w:rFonts w:ascii="Arial" w:hAnsi="Arial" w:eastAsia="Arial" w:cs="Arial"/>
          <w:color w:val="000000"/>
        </w:rPr>
        <w:t>Retrieval baselines and component ablations</w:t>
      </w:r>
    </w:p>
    <w:p>
      <w:pPr/>
      <w:r>
        <w:rPr>
          <w:rFonts w:ascii="Arial" w:hAnsi="Arial" w:eastAsia="Arial" w:cs="Arial"/>
          <w:color w:val="000000"/>
        </w:rP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rPr>
          <w:rFonts w:ascii="Arial" w:hAnsi="Arial" w:eastAsia="Arial" w:cs="Arial"/>
          <w:color w:val="000000"/>
        </w:rP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rPr>
          <w:rFonts w:ascii="Arial" w:hAnsi="Arial" w:eastAsia="Arial" w:cs="Arial"/>
          <w:color w:val="000000"/>
        </w:rPr>
        <w:t>Direct article questions</w:t>
      </w:r>
    </w:p>
    <w:p>
      <w:pPr/>
      <w:r>
        <w:rPr>
          <w:rFonts w:ascii="Arial" w:hAnsi="Arial" w:eastAsia="Arial" w:cs="Arial"/>
          <w:color w:val="000000"/>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rPr>
          <w:rFonts w:ascii="Arial" w:hAnsi="Arial" w:eastAsia="Arial" w:cs="Arial"/>
          <w:color w:val="000000"/>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Arial" w:hAnsi="Arial" w:eastAsia="Arial" w:cs="Arial"/>
          <w:color w:val="000000"/>
        </w:rPr>
        <w:t>Internal development metrics</w:t>
      </w:r>
    </w:p>
    <w:p>
      <w:pPr/>
      <w:r>
        <w:rPr>
          <w:rFonts w:ascii="Arial" w:hAnsi="Arial" w:eastAsia="Arial" w:cs="Arial"/>
          <w:color w:val="000000"/>
        </w:rP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rPr>
          <w:rFonts w:ascii="Arial" w:hAnsi="Arial" w:eastAsia="Arial" w:cs="Arial"/>
          <w:color w:val="000000"/>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rPr>
          <w:rFonts w:ascii="Arial" w:hAnsi="Arial" w:eastAsia="Arial" w:cs="Arial"/>
          <w:color w:val="000000"/>
        </w:rP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rPr>
          <w:rFonts w:ascii="Arial" w:hAnsi="Arial" w:eastAsia="Arial" w:cs="Arial"/>
          <w:color w:val="000000"/>
        </w:rPr>
        <w:t>Completeness errors</w:t>
      </w:r>
    </w:p>
    <w:p>
      <w:pPr/>
      <w:r>
        <w:rPr>
          <w:rFonts w:ascii="Arial" w:hAnsi="Arial" w:eastAsia="Arial" w:cs="Arial"/>
          <w:color w:val="000000"/>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rPr>
          <w:rFonts w:ascii="Arial" w:hAnsi="Arial" w:eastAsia="Arial" w:cs="Arial"/>
          <w:color w:val="000000"/>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rPr>
          <w:rFonts w:ascii="Arial" w:hAnsi="Arial" w:eastAsia="Arial" w:cs="Arial"/>
          <w:color w:val="000000"/>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rPr>
          <w:rFonts w:ascii="Arial" w:hAnsi="Arial" w:eastAsia="Arial" w:cs="Arial"/>
          <w:color w:val="000000"/>
        </w:rPr>
        <w:t>AI-authored diagnostic stress test</w:t>
      </w:r>
    </w:p>
    <w:p>
      <w:pPr/>
      <w:r>
        <w:rPr>
          <w:rFonts w:ascii="Arial" w:hAnsi="Arial" w:eastAsia="Arial" w:cs="Arial"/>
          <w:color w:val="000000"/>
        </w:rP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rPr>
          <w:rFonts w:ascii="Arial" w:hAnsi="Arial" w:eastAsia="Arial" w:cs="Arial"/>
          <w:color w:val="000000"/>
        </w:rPr>
        <w:t>The same test exposed refusal behavior as the main remaining weakness. Literal refusal detection for unanswerable/adversarial questions was 0.600, and AI-judge refusal correctness was 7/10 (0.700; 95% pair-cluster bootstrap CI 0.300 to 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rPr>
          <w:rFonts w:ascii="Arial" w:hAnsi="Arial" w:eastAsia="Arial" w:cs="Arial"/>
          <w:color w:val="000000"/>
        </w:rP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Arial" w:hAnsi="Arial" w:eastAsia="Arial" w:cs="Arial"/>
          <w:color w:val="000000"/>
        </w:rPr>
        <w:t>Refusal calibration</w:t>
      </w:r>
    </w:p>
    <w:p>
      <w:pPr/>
      <w:r>
        <w:rPr>
          <w:rFonts w:ascii="Arial" w:hAnsi="Arial" w:eastAsia="Arial" w:cs="Arial"/>
          <w:color w:val="000000"/>
        </w:rP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rPr>
          <w:rFonts w:ascii="Arial" w:hAnsi="Arial" w:eastAsia="Arial" w:cs="Arial"/>
          <w:color w:val="000000"/>
        </w:rPr>
        <w:t>In the later refusal-focused AI-authored test, the system correctly refused 17 of 18 unanswerable questions by AI-judge scoring, giving refusal correctness 0.944 (95% pair-cluster bootstrap CI 0.833 to 1.000; nine pairs), using the archived labels before the subsequent author adjudication reported below. It did not over-refuse the answerable controls: answerable-control faithfulness was 1.000, citation correctness was 1.000, and completeness was 0.908 (95% CI 0.792 to 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rPr>
          <w:rFonts w:ascii="Arial" w:hAnsi="Arial" w:eastAsia="Arial" w:cs="Arial"/>
          <w:color w:val="000000"/>
        </w:rP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rPr>
          <w:rFonts w:ascii="Arial" w:hAnsi="Arial" w:eastAsia="Arial" w:cs="Arial"/>
          <w:color w:val="000000"/>
        </w:rPr>
        <w:t>Author verification of selected outputs</w:t>
      </w:r>
    </w:p>
    <w:p>
      <w:pPr/>
      <w:r>
        <w:rPr>
          <w:rFonts w:ascii="Arial" w:hAnsi="Arial" w:eastAsia="Arial" w:cs="Arial"/>
          <w:color w:val="000000"/>
        </w:rP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 to 80.9%) at the 0.80 judge threshold: 37 both passed, one both failed, 16 passed the judge but failed author review, and four showed the reverse. Restricting completeness to the 46 questions the author classified as answerable yielded 37/46 agreement (80.4%; interval 63.8 to 93.6%). These different denominators distinguish rating disagreement from answerability changes.</w:t>
      </w:r>
    </w:p>
    <w:p>
      <w:pPr/>
      <w:r>
        <w:rPr>
          <w:rFonts w:ascii="Arial" w:hAnsi="Arial" w:eastAsia="Arial" w:cs="Arial"/>
          <w:color w:val="000000"/>
        </w:rP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 to 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rPr>
          <w:rFonts w:ascii="Arial" w:hAnsi="Arial" w:eastAsia="Arial" w:cs="Arial"/>
          <w:color w:val="000000"/>
        </w:rP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rPr>
          <w:rFonts w:ascii="Arial" w:hAnsi="Arial" w:eastAsia="Arial" w:cs="Arial"/>
          <w:color w:val="000000"/>
        </w:rP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rPr>
          <w:rFonts w:ascii="Arial" w:hAnsi="Arial" w:eastAsia="Arial" w:cs="Arial"/>
          <w:color w:val="000000"/>
        </w:rP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 to 100.0%, 47.8 to 100.0% and 54.1 to 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rPr>
          <w:rFonts w:ascii="Arial" w:hAnsi="Arial" w:eastAsia="Arial" w:cs="Arial"/>
          <w:color w:val="000000"/>
        </w:rP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rPr>
          <w:rFonts w:ascii="Arial" w:hAnsi="Arial" w:eastAsia="Arial" w:cs="Arial"/>
          <w:color w:val="000000"/>
        </w:rP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rPr>
          <w:rFonts w:ascii="Arial" w:hAnsi="Arial" w:eastAsia="Arial" w:cs="Arial"/>
          <w:color w:val="000000"/>
        </w:rP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rPr>
          <w:rFonts w:ascii="Arial" w:hAnsi="Arial" w:eastAsia="Arial" w:cs="Arial"/>
          <w:color w:val="000000"/>
        </w:rP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rPr>
          <w:rFonts w:ascii="Arial" w:hAnsi="Arial" w:eastAsia="Arial" w:cs="Arial"/>
          <w:color w:val="000000"/>
        </w:rP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rPr>
          <w:rFonts w:ascii="Arial" w:hAnsi="Arial" w:eastAsia="Arial" w:cs="Arial"/>
          <w:color w:val="000000"/>
        </w:rP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rPr>
          <w:rFonts w:ascii="Arial" w:hAnsi="Arial" w:eastAsia="Arial" w:cs="Arial"/>
          <w:color w:val="000000"/>
        </w:rP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rPr>
          <w:rFonts w:ascii="Arial" w:hAnsi="Arial" w:eastAsia="Arial" w:cs="Arial"/>
          <w:color w:val="000000"/>
        </w:rPr>
        <w:t>Frozen author-led assessment</w:t>
      </w:r>
    </w:p>
    <w:p>
      <w:pPr/>
      <w:r>
        <w:rPr>
          <w:rFonts w:ascii="Arial" w:hAnsi="Arial" w:eastAsia="Arial" w:cs="Arial"/>
          <w:color w:val="000000"/>
        </w:rPr>
        <w:t>In the frozen author-led assessment, 10/20 bilingual pairs met the full task criteria (50.0%; exact 95% CI 27.2 to 72.8%). Category results were 6/12 answerable pairs (50.0%; 21.1 to 78.9%), 0/4 partly answerable pairs (0%; 0 to 60.2%) and 4/4 unanswerable pairs (100%; 39.8 to 100%). At output level, 24/40 passed: 16/24 answerable, 0/8 partly answerable and 8/8 unanswerable. Full reference content was covered in 18/24 answerable outputs, but English language failures reduced complete-task success. Requested language was respected in 35/40 outputs: 15/20 English and 20/20 Portuguese. Table 4 and Figure 4 report the paired outcomes; supplementary audit S32 provides all ratings and derived results.</w:t>
      </w:r>
    </w:p>
    <w:p>
      <w:pPr/>
      <w:r>
        <w:rPr>
          <w:rFonts w:ascii="Arial" w:hAnsi="Arial" w:eastAsia="Arial" w:cs="Arial"/>
          <w:color w:val="000000"/>
        </w:rPr>
        <w:t>The selected passages confirm missing list items in AV_004, AV_006 and AV_014, absence of the required Article 28 item in AV_013 Portuguese, and missing portions of the paired provisions in AV_016. AV_009 Portuguese correctly supplied the registration classes but could not supply the notification classes from its passages. All eight partly answerable outputs were blanket refusals. Five omitted information that Howard judged supported by the selected passages; three lacked the required supported content in those passages. None identified the unavailable detail explicitly. The frozen prompt required a blanket refusal for partial evidence, whereas the prespecified partly answerable endpoint required a supported partial answer. This instruction and endpoint mismatch is a documented design limitation. AV_008 English cited supported pharmacovigilance statements about risk minimization instead of answering the contingency-plan question. All 23 claim-bearing outputs had supported claims and citations according to Howard, illustrating why grounding alone is not task success. These failure categories overlap and do not identify causal effect sizes.</w:t>
      </w:r>
    </w:p>
    <w:p>
      <w:r>
        <w:rPr>
          <w:rFonts w:ascii="Arial" w:hAnsi="Arial" w:eastAsia="Arial" w:cs="Arial"/>
          <w:color w:val="000000"/>
        </w:rPr>
        <w:t>In the exploratory prompt comparison, AI-assisted inspection found that all requested information actually present in the passages was supplied in 1/5 evidence-eligible partly answerable outputs under the original prompt and 5/5 under the revised prompt. Explicit identification of unavailable detail changed from 1/8 to 6/8 partly answerable outputs, and blanket refusals from 7/8 to 2/8. Full frozen-task success changed from 0/4 to 1/4 partly answerable pairs and from 3/10 to 4/10 pairs overall; answerable and unanswerable control success remained 1/4 and 2/2 pairs in both conditions. These are provisional AI-assisted development counts, not Howard ratings or revised primary scores. Missing passages persisted. The revised prompt produced a wrong-plan answer in AV_008 English, an unrequested API definition in AV_013 Portuguese, three blanket refusals with prohibited citations, and a Portuguese answer to AV_016 English where the original prompt answered in English. Requested-language compliance was 17/20 versus 18/20 overall, concealing that individual regression. No general repair, independent improvement or current-law validity is established.</w:t>
      </w:r>
    </w:p>
    <w:p>
      <w:r>
        <w:rPr>
          <w:rFonts w:ascii="Arial" w:hAnsi="Arial" w:eastAsia="Arial" w:cs="Arial"/>
          <w:color w:val="000000"/>
        </w:rPr>
        <w:t>The combined comparison completed all 240 generations in 240 successful attempts. Full-task bilingual-pair success was 8/20, 9/20 and 9/20 under the original condition, versus 14/20, 15/20 and 14/20 under the combined condition across the three repeats. Mean pair success across repeats changed from 43.3% to 71.7%, a paired difference of 28.3 percentage points (descriptive 95% pair-cluster bootstrap interval 10.0 to 48.3). Seven of 20 original-condition pairs and 14/20 combined-condition pairs passed all three repeats. Combined-condition answerable pairs passed 10/12 in every repeat, and unanswerable pairs 4/4; partly answerable pairs passed 0/4, 1/4 and 0/4, with none passing all repeats. Wrong-language outputs decreased from 16/120 to 3/120, but literal-citation format failures increased from 5/120 to 7/120. The original 120 and combined 120 outputs contain repeated responses to the same 40 questions and are not independent samples. These provisional AI-assisted outcomes do not replace Howard’s original 10/20 assessment.</w:t>
      </w:r>
    </w:p>
    <w:p>
      <w:pPr>
        <w:pStyle w:val="Heading2"/>
      </w:pPr>
      <w:r>
        <w:rPr>
          <w:rFonts w:ascii="Arial" w:hAnsi="Arial" w:eastAsia="Arial" w:cs="Arial"/>
          <w:color w:val="000000"/>
        </w:rPr>
        <w:t>Summary of quantitative evaluation</w:t>
      </w:r>
    </w:p>
    <w:p>
      <w:pPr/>
      <w:r>
        <w:rPr>
          <w:rFonts w:ascii="Arial" w:hAnsi="Arial" w:eastAsia="Arial" w:cs="Arial"/>
          <w:color w:val="000000"/>
        </w:rP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rPr>
          <w:rFonts w:ascii="Arial" w:hAnsi="Arial" w:eastAsia="Arial" w:cs="Arial"/>
          <w:color w:val="000000"/>
        </w:rP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rPr>
          <w:rFonts w:ascii="Arial" w:hAnsi="Arial" w:eastAsia="Arial" w:cs="Arial"/>
          <w:color w:val="000000"/>
        </w:rPr>
        <w:t>Discussion</w:t>
      </w:r>
    </w:p>
    <w:p>
      <w:pPr>
        <w:pStyle w:val="Heading2"/>
      </w:pPr>
      <w:r>
        <w:rPr>
          <w:rFonts w:ascii="Arial" w:hAnsi="Arial" w:eastAsia="Arial" w:cs="Arial"/>
          <w:color w:val="000000"/>
        </w:rPr>
        <w:t>Interpretation of the development path</w:t>
      </w:r>
    </w:p>
    <w:p>
      <w:pPr/>
      <w:r>
        <w:rPr>
          <w:rFonts w:ascii="Arial" w:hAnsi="Arial" w:eastAsia="Arial" w:cs="Arial"/>
          <w:color w:val="000000"/>
        </w:rPr>
        <w:t>The findings support a bilingual prototype for locating evidence within a closed corpus of selected ANVISA documents. Citation can connect a generated answer to source text, but does not ensure that the answer is complete, addresses the question or uses an applicable provision. This interpretation is consistent with the broader RAG literature [1,2,9].</w:t>
      </w:r>
    </w:p>
    <w:p>
      <w:pPr/>
      <w:r>
        <w:rPr>
          <w:rFonts w:ascii="Arial" w:hAnsi="Arial" w:eastAsia="Arial" w:cs="Arial"/>
          <w:color w:val="000000"/>
        </w:rPr>
        <w:t>Figures 1 and 2 describe the workflow and benchmark. Figure 3 reports the overlapping development assessments and repair comparisons; Figure 4 reports the frozen author-led assessment. Together they show that high source-retrieval scores can coexist with missing clauses, incomplete answers and refusal failures.</w:t>
      </w:r>
    </w:p>
    <w:p>
      <w:pPr/>
      <w:r>
        <w:rPr>
          <w:rFonts w:ascii="Arial" w:hAnsi="Arial" w:eastAsia="Arial" w:cs="Arial"/>
          <w:color w:val="000000"/>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Arial" w:hAnsi="Arial" w:eastAsia="Arial" w:cs="Arial"/>
          <w:color w:val="000000"/>
        </w:rPr>
        <w:t>Use in drug development and regulatory affairs</w:t>
      </w:r>
    </w:p>
    <w:p>
      <w:pPr/>
      <w:r>
        <w:rPr>
          <w:rFonts w:ascii="Arial" w:hAnsi="Arial" w:eastAsia="Arial" w:cs="Arial"/>
          <w:color w:val="000000"/>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Arial" w:hAnsi="Arial" w:eastAsia="Arial" w:cs="Arial"/>
          <w:color w:val="000000"/>
        </w:rP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rPr>
          <w:rFonts w:ascii="Arial" w:hAnsi="Arial" w:eastAsia="Arial" w:cs="Arial"/>
          <w:color w:val="000000"/>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Arial" w:hAnsi="Arial" w:eastAsia="Arial" w:cs="Arial"/>
          <w:color w:val="000000"/>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Arial" w:hAnsi="Arial" w:eastAsia="Arial" w:cs="Arial"/>
          <w:color w:val="000000"/>
        </w:rPr>
        <w:t>Limitations and future work</w:t>
      </w:r>
    </w:p>
    <w:p>
      <w:pPr/>
      <w:r>
        <w:rPr>
          <w:rFonts w:ascii="Arial" w:hAnsi="Arial" w:eastAsia="Arial" w:cs="Arial"/>
          <w:color w:val="000000"/>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 The system does not automatically track amendments or revocations, construct consolidated legal versions, or reliably warn that a cited provision has been superseded. Users must check the cited provision and applicable date against the official source before regulatory use.</w:t>
      </w:r>
    </w:p>
    <w:p>
      <w:r>
        <w:rPr>
          <w:rFonts w:ascii="Arial" w:hAnsi="Arial" w:eastAsia="Arial" w:cs="Arial"/>
          <w:color w:val="000000"/>
        </w:rP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rPr>
          <w:rFonts w:ascii="Arial" w:hAnsi="Arial" w:eastAsia="Arial" w:cs="Arial"/>
          <w:color w:val="000000"/>
        </w:rP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rPr>
          <w:rFonts w:ascii="Arial" w:hAnsi="Arial" w:eastAsia="Arial" w:cs="Arial"/>
          <w:color w:val="000000"/>
        </w:rP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rPr>
          <w:rFonts w:ascii="Arial" w:hAnsi="Arial" w:eastAsia="Arial" w:cs="Arial"/>
          <w:color w:val="000000"/>
        </w:rP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rPr>
          <w:rFonts w:ascii="Arial" w:hAnsi="Arial" w:eastAsia="Arial" w:cs="Arial"/>
          <w:color w:val="000000"/>
        </w:rP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rPr>
          <w:rFonts w:ascii="Arial" w:hAnsi="Arial" w:eastAsia="Arial" w:cs="Arial"/>
          <w:color w:val="000000"/>
        </w:rP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rPr>
          <w:rFonts w:ascii="Arial" w:hAnsi="Arial" w:eastAsia="Arial" w:cs="Arial"/>
          <w:color w:val="000000"/>
        </w:rP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rPr>
          <w:rFonts w:ascii="Arial" w:hAnsi="Arial" w:eastAsia="Arial" w:cs="Arial"/>
          <w:color w:val="000000"/>
        </w:rP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subsequent frozen 40-answer coauthor review is reported separately. The coauthor role and prior benchmark exposure preclude an independent external-validation claim.</w:t>
      </w:r>
    </w:p>
    <w:p>
      <w:r>
        <w:rPr>
          <w:rFonts w:ascii="Arial" w:hAnsi="Arial" w:eastAsia="Arial" w:cs="Arial"/>
          <w:color w:val="000000"/>
        </w:rPr>
        <w:t>A controlled development follow-up used 213 unique generations with three repeats per fixed condition, no external judge, and local unblinded AI-assisted inspection (Supplementary S34). For AV_015, both languages, the original policy refused in 6/6 saved-context responses, whereas the revised policy provided supported update triggers and electronic submission while identifying the absent deadline in 6/6; unrelated appended text reproduced this contrast. For AV_014, direct clauses recovered the literature-evidence requirement in 6/6 revised responses, compared with canonical refusals in 6/6 saved and 6/6 length-control responses. This was component recovery, not full-task success. For AV_008 English, all 18 responses with direct Article 9 evidence answered the contingency-plan task despite related or unrelated appended passages; all six without Article 9 discussed the Risk Minimization Plan, including three with a relevance reminder. An explicit refusal branch reduced cited canonical refusals from 8/9 to 0/9 on three selected questions. All 36 minimal-context language responses were English, so translation and a stronger language reminder showed no incremental benefit. Identical prompts still varied in response language and refusal behavior. Missing clauses and refusal policy contributed to these selected failures, but neither explains every error. Source-language effects in complex contexts, interactions between instructions, and generalization remain unresolved. These development tests do not establish a reliable repair or change the original 10/20 human-reviewed bilingual-pair result. No revised prompt was deployed.</w:t>
      </w:r>
    </w:p>
    <w:p>
      <w:r>
        <w:rPr>
          <w:rFonts w:ascii="Arial" w:hAnsi="Arial" w:eastAsia="Arial" w:cs="Arial"/>
          <w:color w:val="000000"/>
        </w:rPr>
        <w:t>The combined comparison shows that supplying complete archived clauses and revising instructions can improve full-task performance on known development questions, but it leaves a clear partly answerable failure. The combined answers recovered the seven API-list categories, the low-risk literature requirement and the certificate-validity condition; they still omitted frozen secondary reference components such as the complementary-act deferral, general phase-3 risk framing and certificate-copy requirement. These components are retained for comparability and distinguished from the narrower question content. One Portuguese AV_014 response also omitted the unavailable indexing-database detail. All three combined AV_016 English responses remained Portuguese. Literal citation suffixes persisted, and two combined AV_011 English responses misapplied the product exceptions to requiring phase III studies rather than to comparative design. A Portuguese response also added an unverifiable claim about which chapter details were present. Thus the overall gain does not establish a reliable partial-answer repair. Because relevant complete articles were selected manually and multiple instructions changed together, the experiment cannot identify a repaired retrieval algorithm or separate effects of each change. The interval describes variation across the selected development pairs under provisional inspection; it does not establish independent generalization, human-validated improvement or current-law applicability. No repair was deployed.</w:t>
      </w:r>
    </w:p>
    <w:p>
      <w:r>
        <w:rPr>
          <w:rFonts w:ascii="Arial" w:hAnsi="Arial" w:eastAsia="Arial" w:cs="Arial"/>
          <w:color w:val="000000"/>
        </w:rPr>
        <w:t>The frozen author-led assessment exposes limits that the historical automated scores could not establish. Passage selection omitted required clauses even when the article label was correct. The blanket-refusal instruction conflicted with the planned partial-answer task, and five English questions received Portuguese answers. An answer could also cite accurate text while addressing the wrong plan. These results support separate reporting of task completion, passage sufficiency, refusal appropriateness and language. They do not show current-law accuracy, independent generalization or a verified treatment effect.</w:t>
      </w:r>
    </w:p>
    <w:p>
      <w:pPr/>
      <w:r>
        <w:rPr>
          <w:rFonts w:ascii="Arial" w:hAnsi="Arial" w:eastAsia="Arial" w:cs="Arial"/>
          <w:color w:val="000000"/>
        </w:rPr>
        <w:t>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p>
    <w:p>
      <w:pPr/>
      <w:r>
        <w:rPr>
          <w:rFonts w:ascii="Arial" w:hAnsi="Arial" w:eastAsia="Arial" w:cs="Arial"/>
          <w:color w:val="000000"/>
        </w:rPr>
        <w:t>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 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 to 3; these changes are not retrospective proof of scoring errors in the original tasks. A separate inactive working collection contains 50 rows. Supplementary audits S30 and S31 document the findings and versions. No corrected accuracy or independent validation is reported.</w:t>
      </w:r>
    </w:p>
    <w:p>
      <w:r>
        <w:rPr>
          <w:rFonts w:ascii="Arial" w:hAnsi="Arial" w:eastAsia="Arial" w:cs="Arial"/>
          <w:color w:val="000000"/>
        </w:rP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rPr>
          <w:rFonts w:ascii="Arial" w:hAnsi="Arial" w:eastAsia="Arial" w:cs="Arial"/>
          <w:color w:val="000000"/>
        </w:rP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rPr>
          <w:rFonts w:ascii="Arial" w:hAnsi="Arial" w:eastAsia="Arial" w:cs="Arial"/>
          <w:color w:val="000000"/>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rPr>
          <w:rFonts w:ascii="Arial" w:hAnsi="Arial" w:eastAsia="Arial" w:cs="Arial"/>
          <w:color w:val="000000"/>
        </w:rPr>
        <w:t>Conclusion</w:t>
      </w:r>
    </w:p>
    <w:p>
      <w:pPr>
        <w:keepLines/>
      </w:pPr>
      <w:r>
        <w:rPr>
          <w:rFonts w:ascii="Arial" w:hAnsi="Arial" w:eastAsia="Arial" w:cs="Arial"/>
          <w:color w:val="000000"/>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rPr>
          <w:rFonts w:ascii="Arial" w:hAnsi="Arial" w:eastAsia="Arial" w:cs="Arial"/>
          <w:color w:val="000000"/>
        </w:rPr>
        <w:t>Declarations</w:t>
      </w:r>
    </w:p>
    <w:p>
      <w:pPr>
        <w:keepNext/>
        <w:keepLines/>
      </w:pPr>
      <w:r>
        <w:rPr>
          <w:rFonts w:ascii="Arial" w:hAnsi="Arial" w:eastAsia="Arial" w:cs="Arial"/>
          <w:color w:val="000000"/>
        </w:rPr>
        <w:t>Funding: The authors received no specific funding for this work.</w:t>
      </w:r>
    </w:p>
    <w:p>
      <w:pPr>
        <w:keepNext/>
        <w:keepLines/>
      </w:pPr>
      <w:r>
        <w:rPr>
          <w:rFonts w:ascii="Arial" w:hAnsi="Arial" w:eastAsia="Arial" w:cs="Arial"/>
          <w:color w:val="000000"/>
        </w:rPr>
        <w:t>Conflict of Interest: The authors declare no competing financial interests.</w:t>
      </w:r>
    </w:p>
    <w:p>
      <w:pPr>
        <w:keepNext/>
        <w:keepLines/>
      </w:pPr>
      <w:r>
        <w:rPr>
          <w:rFonts w:ascii="Arial" w:hAnsi="Arial" w:eastAsia="Arial" w:cs="Arial"/>
          <w:color w:val="000000"/>
        </w:rP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author review of questions and generated answers, and critical revision of the manuscript. Both authors approved the final manuscript and agree to be accountable for the work.</w:t>
      </w:r>
    </w:p>
    <w:p>
      <w:pPr>
        <w:keepNext/>
        <w:keepLines/>
      </w:pPr>
      <w:r>
        <w:rPr>
          <w:rFonts w:ascii="Arial" w:hAnsi="Arial" w:eastAsia="Arial" w:cs="Arial"/>
          <w:color w:val="000000"/>
        </w:rPr>
        <w:t>Data Availability: The code, benchmark artifacts and revision snapshots are available at https://github.com/camontefusco/ANVISA_RAG_publication_repository_20260720. The revision package includes question-level results, scoring definitions, source URLs, checksums and the regulatory-text cleaning script. Historical outputs and original review files are preserved; derived analyses and corrections are stored separately. Full raw regulatory corpora, credentials and private reviewer coordination files are not redistributed in the submission package.</w:t>
      </w:r>
    </w:p>
    <w:p>
      <w:pPr>
        <w:keepNext/>
        <w:keepLines/>
      </w:pPr>
      <w:r>
        <w:rPr>
          <w:rFonts w:ascii="Arial" w:hAnsi="Arial" w:eastAsia="Arial" w:cs="Arial"/>
          <w:color w:val="000000"/>
        </w:rPr>
        <w:t>Ethics Approval: Not required because the study used public regulatory documents and generated benchmark questions. No human participants, patient data, animal data, or clinical trial data were used.</w:t>
      </w:r>
    </w:p>
    <w:p>
      <w:r>
        <w:rPr>
          <w:rFonts w:ascii="Arial" w:hAnsi="Arial" w:eastAsia="Arial" w:cs="Arial"/>
          <w:color w:val="000000"/>
        </w:rP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rPr>
          <w:rFonts w:ascii="Arial" w:hAnsi="Arial" w:eastAsia="Arial" w:cs="Arial"/>
          <w:color w:val="000000"/>
        </w:rPr>
        <w:t>Clinical Trial Registration: Not applicable.</w:t>
      </w:r>
    </w:p>
    <w:p>
      <w:pPr>
        <w:pStyle w:val="Heading1"/>
        <w:pageBreakBefore/>
        <w:spacing w:after="0" w:before="0" w:line="240" w:lineRule="auto"/>
      </w:pPr>
      <w:r>
        <w:rPr>
          <w:rFonts w:ascii="Arial" w:hAnsi="Arial" w:eastAsia="Arial" w:cs="Arial"/>
          <w:color w:val="000000"/>
        </w:rPr>
        <w:t>References</w:t>
      </w:r>
    </w:p>
    <w:p>
      <w:pPr>
        <w:spacing w:after="0" w:line="240" w:lineRule="auto" w:before="0"/>
      </w:pPr>
      <w:r>
        <w:rPr>
          <w:rFonts w:ascii="Arial" w:hAnsi="Arial" w:eastAsia="Arial" w:cs="Arial"/>
          <w:sz w:val="22"/>
          <w:color w:val="000000"/>
        </w:rPr>
        <w:t>1. Lewis P, Perez E, Piktus A, et al. Retrieval-Augmented Generation for Knowledge-Intensive NLP Tasks. Advances in Neural Information Processing Systems. 2020;33:9459-9474.</w:t>
      </w:r>
    </w:p>
    <w:p>
      <w:pPr>
        <w:spacing w:after="0" w:line="240" w:lineRule="auto" w:before="0"/>
      </w:pPr>
      <w:r>
        <w:rPr>
          <w:rFonts w:ascii="Arial" w:hAnsi="Arial" w:eastAsia="Arial" w:cs="Arial"/>
          <w:sz w:val="22"/>
          <w:color w:val="000000"/>
        </w:rPr>
        <w:t>2. Proestel S, Jeng LJB, Smith C, et al. Semantic Search of FDA Guidance Documents Using Generative AI. Ther Innov Regul Sci. 2025;59(5):1148-1159. doi:10.1007/s43441-025-00798-8.</w:t>
      </w:r>
    </w:p>
    <w:p>
      <w:pPr>
        <w:spacing w:after="0" w:line="240" w:lineRule="auto" w:before="0"/>
      </w:pPr>
      <w:r>
        <w:rPr>
          <w:rFonts w:ascii="Arial" w:hAnsi="Arial" w:eastAsia="Arial" w:cs="Arial"/>
          <w:sz w:val="22"/>
          <w:color w:val="000000"/>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rFonts w:ascii="Arial" w:hAnsi="Arial" w:eastAsia="Arial" w:cs="Arial"/>
          <w:sz w:val="22"/>
          <w:color w:val="000000"/>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rFonts w:ascii="Arial" w:hAnsi="Arial" w:eastAsia="Arial" w:cs="Arial"/>
          <w:sz w:val="22"/>
          <w:color w:val="000000"/>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rFonts w:ascii="Arial" w:hAnsi="Arial" w:eastAsia="Arial" w:cs="Arial"/>
          <w:sz w:val="22"/>
          <w:color w:val="000000"/>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rFonts w:ascii="Arial" w:hAnsi="Arial" w:eastAsia="Arial" w:cs="Arial"/>
          <w:sz w:val="22"/>
          <w:color w:val="000000"/>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rFonts w:ascii="Arial" w:hAnsi="Arial" w:eastAsia="Arial" w:cs="Arial"/>
          <w:color w:val="000000"/>
        </w:rPr>
        <w:t>8. Agência Nacional de Vigilância Sanitária. Resolução RDC No. 9, de 20 de fevereiro de 2015. Regulation for clinical trials with medicines in Brazil. Revoked by RDC 945/2024, Art. 98, effective 1 January 2025. Historical corpus source. AnvisaLegis. Accessed 19 July 2026.</w:t>
      </w:r>
    </w:p>
    <w:p>
      <w:pPr>
        <w:spacing w:after="0" w:line="240" w:lineRule="auto" w:before="0"/>
      </w:pPr>
      <w:r>
        <w:rPr>
          <w:rFonts w:ascii="Arial" w:hAnsi="Arial" w:eastAsia="Arial" w:cs="Arial"/>
          <w:sz w:val="22"/>
          <w:color w:val="000000"/>
        </w:rPr>
        <w:t>9. Gao Y, Xiong Y, Gao X, et al. Retrieval-Augmented Generation for Large Language Models: A Survey. arXiv. 2023. doi:10.48550/arXiv.2312.10997.</w:t>
      </w:r>
    </w:p>
    <w:p>
      <w:pPr>
        <w:spacing w:after="0" w:line="240" w:lineRule="auto" w:before="0"/>
      </w:pPr>
      <w:r>
        <w:rPr>
          <w:rFonts w:ascii="Arial" w:hAnsi="Arial" w:eastAsia="Arial" w:cs="Arial"/>
          <w:sz w:val="22"/>
          <w:color w:val="000000"/>
        </w:rPr>
        <w:t>10. Es S, James J, Espinosa-Anke L, Schockaert S. RAGAS: Automated Evaluation of Retrieval Augmented Generation. arXiv. 2023. doi:10.48550/arXiv.2309.15217.</w:t>
      </w:r>
    </w:p>
    <w:p>
      <w:pPr>
        <w:spacing w:after="0" w:line="240" w:lineRule="auto" w:before="0"/>
      </w:pPr>
      <w:r>
        <w:rPr>
          <w:rFonts w:ascii="Arial" w:hAnsi="Arial" w:eastAsia="Arial" w:cs="Arial"/>
          <w:sz w:val="22"/>
          <w:color w:val="000000"/>
        </w:rPr>
        <w:t>11. Reimers N, Gurevych I. Sentence-BERT: Sentence Embeddings using Siamese BERT-Networks. In: Proceedings of EMNLP-IJCNLP. Association for Computational Linguistics; 2019:3982-3992. doi:10.18653/v1/D19-1410.</w:t>
      </w:r>
    </w:p>
    <w:p>
      <w:pPr>
        <w:spacing w:after="0" w:line="240" w:lineRule="auto" w:before="0"/>
      </w:pPr>
      <w:r>
        <w:rPr>
          <w:rFonts w:ascii="Arial" w:hAnsi="Arial" w:eastAsia="Arial" w:cs="Arial"/>
          <w:sz w:val="22"/>
          <w:color w:val="000000"/>
        </w:rPr>
        <w:t>12. Robertson S, Zaragoza H. The Probabilistic Relevance Framework: BM25 and Beyond. Foundations and Trends in Information Retrieval. 2009;3(4):333-389. doi:10.1561/1500000019.</w:t>
      </w:r>
    </w:p>
    <w:p>
      <w:pPr>
        <w:spacing w:after="0" w:line="240" w:lineRule="auto" w:before="0"/>
      </w:pPr>
      <w:r>
        <w:rPr>
          <w:rFonts w:ascii="Arial" w:hAnsi="Arial" w:eastAsia="Arial" w:cs="Arial"/>
          <w:sz w:val="22"/>
          <w:color w:val="000000"/>
        </w:rPr>
        <w:t>13. Bonifacio L, Jeronymo V, Abonizio HQ, Campiotti I, Fadaee M, Lotufo R, Nogueira R. mMARCO: A Multilingual Version of the MS MARCO Passage Ranking Dataset. arXiv. 2021. doi:10.48550/arXiv.2108.13897.</w:t>
      </w:r>
    </w:p>
    <w:p>
      <w:pPr>
        <w:spacing w:after="0" w:line="240" w:lineRule="auto" w:before="0"/>
      </w:pPr>
      <w:r>
        <w:rPr>
          <w:rFonts w:ascii="Arial" w:hAnsi="Arial" w:eastAsia="Arial" w:cs="Arial"/>
          <w:sz w:val="22"/>
          <w:color w:val="000000"/>
        </w:rPr>
        <w:t>14. LlamaIndex. LlamaIndex: a data framework for LLM applications. GitHub repository. https://github.com/run-llama/llama_index. Accessed 21 July 2026.</w:t>
      </w:r>
    </w:p>
    <w:p>
      <w:pPr>
        <w:spacing w:after="0" w:line="240" w:lineRule="auto" w:before="0"/>
      </w:pPr>
      <w:r>
        <w:rPr>
          <w:rFonts w:ascii="Arial" w:hAnsi="Arial" w:eastAsia="Arial" w:cs="Arial"/>
          <w:sz w:val="22"/>
          <w:color w:val="000000"/>
        </w:rPr>
        <w:t>15. Google AI for Developers. Gemini API models and GenerateContentResponse reference. https://ai.google.dev/gemini-api/docs/models; https://ai.google.dev/api/generate-content. Accessed 24 October 2026.</w:t>
      </w:r>
    </w:p>
    <w:p>
      <w:pPr>
        <w:spacing w:after="0" w:line="240" w:lineRule="auto" w:before="0"/>
      </w:pPr>
      <w:r>
        <w:rPr>
          <w:rFonts w:ascii="Arial" w:hAnsi="Arial" w:eastAsia="Arial" w:cs="Arial"/>
          <w:sz w:val="22"/>
          <w:color w:val="000000"/>
        </w:rPr>
        <w:t>16. Chang Y, Wang X, Wang J, et al. A Survey on Evaluation of Large Language Models. ACM Transactions on Intelligent Systems and Technology. 2024;15(3). doi:10.1145/3641289.</w:t>
      </w:r>
    </w:p>
    <w:p>
      <w:pPr>
        <w:spacing w:after="0" w:line="240" w:lineRule="auto" w:before="0"/>
      </w:pPr>
      <w:r>
        <w:rPr>
          <w:rFonts w:ascii="Arial" w:hAnsi="Arial" w:eastAsia="Arial" w:cs="Arial"/>
          <w:sz w:val="22"/>
          <w:color w:val="000000"/>
        </w:rPr>
        <w:t>17. Zheng L, Chiang WL, Sheng Y, et al. Judging LLM-as-a-Judge with MT-Bench and Chatbot Arena. Advances in Neural Information Processing Systems. 2023;36.</w:t>
      </w:r>
    </w:p>
    <w:p>
      <w:pPr>
        <w:spacing w:after="0" w:line="240" w:lineRule="auto" w:before="0"/>
      </w:pPr>
      <w:r>
        <w:rPr>
          <w:rFonts w:ascii="Arial" w:hAnsi="Arial" w:eastAsia="Arial" w:cs="Arial"/>
          <w:sz w:val="22"/>
          <w:color w:val="000000"/>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rFonts w:ascii="Arial" w:hAnsi="Arial" w:eastAsia="Arial" w:cs="Arial"/>
          <w:sz w:val="22"/>
          <w:color w:val="000000"/>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rFonts w:ascii="Arial" w:hAnsi="Arial" w:eastAsia="Arial" w:cs="Arial"/>
          <w:sz w:val="22"/>
          <w:color w:val="000000"/>
        </w:rPr>
        <w:t>20. Sentence Transformers. all-MiniLM-L6-v2 model card. https://huggingface.co/sentence-transformers/all-MiniLM-L6-v2. Accessed 25 October 2026.</w:t>
      </w:r>
    </w:p>
    <w:p>
      <w:pPr>
        <w:spacing w:after="0" w:line="240" w:lineRule="auto" w:before="0"/>
      </w:pPr>
      <w:r>
        <w:rPr>
          <w:rFonts w:ascii="Arial" w:hAnsi="Arial" w:eastAsia="Arial" w:cs="Arial"/>
          <w:sz w:val="22"/>
          <w:color w:val="000000"/>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