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color w:val="000000"/>
        </w:rPr>
        <w:t>Response to Reviewer 2</w:t>
      </w:r>
    </w:p>
    <w:p>
      <w:r>
        <w:rPr>
          <w:rFonts w:ascii="Arial" w:hAnsi="Arial" w:eastAsia="Arial" w:cs="Arial"/>
          <w:color w:val="000000"/>
        </w:rPr>
        <w:t>Revised manuscript and supporting materials | 30 October 2026</w:t>
      </w:r>
    </w:p>
    <w:p>
      <w:r>
        <w:rPr>
          <w:rFonts w:ascii="Arial" w:hAnsi="Arial" w:eastAsia="Arial" w:cs="Arial"/>
          <w:color w:val="000000"/>
        </w:rPr>
        <w:t>Dear Reviewer,</w:t>
      </w:r>
    </w:p>
    <w:p>
      <w:r>
        <w:rPr>
          <w:rFonts w:ascii="Arial" w:hAnsi="Arial" w:eastAsia="Arial" w:cs="Arial"/>
          <w:color w:val="000000"/>
        </w:rPr>
        <w:t>Thank you for identifying the overlap, regulatory validity and evaluation concerns. We revised the manuscript and supporting files, completed the author-led review described below, and distinguish completed corrections from unresolved validation work. Responses follow the comment numbers in the annotated submission; DR21 and DR23 do not appear in that file.</w:t>
      </w:r>
    </w:p>
    <w:p>
      <w:pPr>
        <w:pStyle w:val="Heading1"/>
        <w:spacing w:before="180" w:after="80"/>
      </w:pPr>
      <w:r>
        <w:rPr>
          <w:rFonts w:ascii="Arial" w:hAnsi="Arial" w:eastAsia="Arial" w:cs="Arial"/>
          <w:color w:val="000000"/>
        </w:rPr>
        <w:t>DR1 Evaluation validity and human verification</w:t>
      </w:r>
    </w:p>
    <w:p>
      <w:r>
        <w:rPr>
          <w:rFonts w:ascii="Arial" w:hAnsi="Arial" w:eastAsia="Arial" w:cs="Arial"/>
          <w:color w:val="000000"/>
        </w:rPr>
        <w:t>We relabel the repair stages as development assessments, document stress/calibration overlap, retain revoked-source exposure as a validity concern, and report separate answerability adjudication. Coauthor review covers 94 historical outputs, 44 first-repeat sibling outputs and now all 40 frozen-test outputs. The new test achieved 10/20 successful bilingual pairs, including 0/4 partly answerable pairs. It does not establish independent validation or current-law accuracy. Full current-law index rebuilding and reevaluation remain incomplete.</w:t>
      </w:r>
    </w:p>
    <w:p>
      <w:pPr>
        <w:pStyle w:val="Heading1"/>
        <w:spacing w:before="180" w:after="80"/>
      </w:pPr>
      <w:r>
        <w:rPr>
          <w:rFonts w:ascii="Arial" w:hAnsi="Arial" w:eastAsia="Arial" w:cs="Arial"/>
          <w:color w:val="000000"/>
        </w:rPr>
        <w:t>DR2 Portuguese diacritics</w:t>
      </w:r>
    </w:p>
    <w:p>
      <w:r>
        <w:rPr>
          <w:rFonts w:ascii="Arial" w:hAnsi="Arial" w:eastAsia="Arial" w:cs="Arial"/>
          <w:color w:val="000000"/>
        </w:rPr>
        <w:t>Portuguese names, abbreviations, tables and references use Agência, Resolução and Instrução, with the appropriate related diacritics. Original generated answers and raw ratings remain preserved as data.</w:t>
      </w:r>
    </w:p>
    <w:p>
      <w:pPr>
        <w:pStyle w:val="Heading1"/>
        <w:spacing w:before="180" w:after="80"/>
      </w:pPr>
      <w:r>
        <w:rPr>
          <w:rFonts w:ascii="Arial" w:hAnsi="Arial" w:eastAsia="Arial" w:cs="Arial"/>
          <w:color w:val="000000"/>
        </w:rPr>
        <w:t>DR3 Actual evaluated sample sizes</w:t>
      </w:r>
    </w:p>
    <w:p>
      <w:r>
        <w:rPr>
          <w:rFonts w:ascii="Arial" w:hAnsi="Arial" w:eastAsia="Arial" w:cs="Arial"/>
          <w:color w:val="000000"/>
        </w:rPr>
        <w:t>Abstract Methods now lists all six historical assessment sizes and the additional frozen 40-question assessment. The 200-row constructed benchmark is distinguished from 404 historical outputs and 254 distinct question IDs.</w:t>
      </w:r>
    </w:p>
    <w:p>
      <w:pPr>
        <w:pStyle w:val="Heading1"/>
        <w:spacing w:before="180" w:after="80"/>
      </w:pPr>
      <w:r>
        <w:rPr>
          <w:rFonts w:ascii="Arial" w:hAnsi="Arial" w:eastAsia="Arial" w:cs="Arial"/>
          <w:color w:val="000000"/>
        </w:rPr>
        <w:t>DR4 Counts and confidence intervals</w:t>
      </w:r>
    </w:p>
    <w:p>
      <w:r>
        <w:rPr>
          <w:rFonts w:ascii="Arial" w:hAnsi="Arial" w:eastAsia="Arial" w:cs="Arial"/>
          <w:color w:val="000000"/>
        </w:rPr>
        <w:t>The abstract reports the headline historical completeness interval and the new 10/20 pair result with its exact 95% interval of 27.2 to 72.8%. Binary category results are counts. Table 4 and S32 provide 6/12, 0/4 and 4/4 pairs with exact intervals of 21.1 to 78.9%, 0 to 60.2% and 39.8 to 100%, respectively.</w:t>
      </w:r>
    </w:p>
    <w:p>
      <w:pPr>
        <w:pStyle w:val="Heading1"/>
        <w:spacing w:before="180" w:after="80"/>
      </w:pPr>
      <w:r>
        <w:rPr>
          <w:rFonts w:ascii="Arial" w:hAnsi="Arial" w:eastAsia="Arial" w:cs="Arial"/>
          <w:color w:val="000000"/>
        </w:rPr>
        <w:t>DR5 Suspension example and revoked regulation</w:t>
      </w:r>
    </w:p>
    <w:p>
      <w:r>
        <w:rPr>
          <w:rFonts w:ascii="Arial" w:hAnsi="Arial" w:eastAsia="Arial" w:cs="Arial"/>
          <w:color w:val="000000"/>
        </w:rPr>
        <w:t>The introductory current-rule example cites RDC 945/2024 Articles 85 and 89. Historical golds based on RDC 9/2015 remain identified as historical exposure, not silently recited as current requirements.</w:t>
      </w:r>
    </w:p>
    <w:p>
      <w:pPr>
        <w:pStyle w:val="Heading1"/>
        <w:spacing w:before="180" w:after="80"/>
      </w:pPr>
      <w:r>
        <w:rPr>
          <w:rFonts w:ascii="Arial" w:hAnsi="Arial" w:eastAsia="Arial" w:cs="Arial"/>
          <w:color w:val="000000"/>
        </w:rPr>
        <w:t>DR6 Revoked source coverage</w:t>
      </w:r>
    </w:p>
    <w:p>
      <w:r>
        <w:rPr>
          <w:rFonts w:ascii="Arial" w:hAnsi="Arial" w:eastAsia="Arial" w:cs="Arial"/>
          <w:color w:val="000000"/>
        </w:rPr>
        <w:t>RDC 9/2015 is explicitly marked revoked. The corrected Figure 2 counts 28 distinct question rows, rather than 30 source/article entries. Duplicate citations within a question are counted once.</w:t>
      </w:r>
    </w:p>
    <w:p>
      <w:pPr>
        <w:pStyle w:val="Heading1"/>
        <w:spacing w:before="180" w:after="80"/>
      </w:pPr>
      <w:r>
        <w:rPr>
          <w:rFonts w:ascii="Arial" w:hAnsi="Arial" w:eastAsia="Arial" w:cs="Arial"/>
          <w:color w:val="000000"/>
        </w:rPr>
        <w:t>DR7 Present-tense questions with revoked citations</w:t>
      </w:r>
    </w:p>
    <w:p>
      <w:r>
        <w:rPr>
          <w:rFonts w:ascii="Arial" w:hAnsi="Arial" w:eastAsia="Arial" w:cs="Arial"/>
          <w:color w:val="000000"/>
        </w:rPr>
        <w:t>The source audit lists affected golds and generated citations. We distinguish citation grounding from applicable law. Present-tense historical wording does not make a revoked rule valid; the current-law adjudication remains open.</w:t>
      </w:r>
    </w:p>
    <w:p>
      <w:pPr>
        <w:pStyle w:val="Heading1"/>
        <w:spacing w:before="180" w:after="80"/>
      </w:pPr>
      <w:r>
        <w:rPr>
          <w:rFonts w:ascii="Arial" w:hAnsi="Arial" w:eastAsia="Arial" w:cs="Arial"/>
          <w:color w:val="000000"/>
        </w:rPr>
        <w:t>DR8 Consolidated sources and revised gold answers</w:t>
      </w:r>
    </w:p>
    <w:p>
      <w:r>
        <w:rPr>
          <w:rFonts w:ascii="Arial" w:hAnsi="Arial" w:eastAsia="Arial" w:cs="Arial"/>
          <w:color w:val="000000"/>
        </w:rPr>
        <w:t>Seven displayed consolidated texts were preserved with version dates and hashes. The audit identifies 46 replacement-parent rows and further surviving-clause concerns. Eight revised rows have author approval and are versioned separately. The dependency audit and source checks do not certify every original gold or legal application. Current-law index rebuilding and a full fresh evaluation remain incomplete; no corrected overall accuracy is claimed.</w:t>
      </w:r>
    </w:p>
    <w:p>
      <w:pPr>
        <w:pStyle w:val="Heading1"/>
        <w:spacing w:before="180" w:after="80"/>
      </w:pPr>
      <w:r>
        <w:rPr>
          <w:rFonts w:ascii="Arial" w:hAnsi="Arial" w:eastAsia="Arial" w:cs="Arial"/>
          <w:color w:val="000000"/>
        </w:rPr>
        <w:t>DR9 Development history attribution and assistance disclosure</w:t>
      </w:r>
    </w:p>
    <w:p>
      <w:r>
        <w:rPr>
          <w:rFonts w:ascii="Arial" w:hAnsi="Arial" w:eastAsia="Arial" w:cs="Arial"/>
          <w:color w:val="000000"/>
        </w:rPr>
        <w:t>Development history is in the supplementary provenance record. The corresponding author identified the course notebooks and Shenia code as their own work; no unsupported third-party ownership or license is asserted. The declarations retain a factual assistance disclosure and author responsibility.</w:t>
      </w:r>
    </w:p>
    <w:p>
      <w:pPr>
        <w:pStyle w:val="Heading1"/>
        <w:spacing w:before="180" w:after="80"/>
      </w:pPr>
      <w:r>
        <w:rPr>
          <w:rFonts w:ascii="Arial" w:hAnsi="Arial" w:eastAsia="Arial" w:cs="Arial"/>
          <w:color w:val="000000"/>
        </w:rPr>
        <w:t>DR10 Model versions dates and judge independence</w:t>
      </w:r>
    </w:p>
    <w:p>
      <w:r>
        <w:rPr>
          <w:rFonts w:ascii="Arial" w:hAnsi="Arial" w:eastAsia="Arial" w:cs="Arial"/>
          <w:color w:val="000000"/>
        </w:rPr>
        <w:t>The manuscript distinguishes the historical unpinned Gemini alias from later recorded gemini-3.5-flash-lite responses. Missing historical backend metadata is not reconstructed as fact. Generation and judging shared an alias, so the automated judge is not independent.</w:t>
      </w:r>
    </w:p>
    <w:p>
      <w:pPr>
        <w:pStyle w:val="Heading1"/>
        <w:spacing w:before="180" w:after="80"/>
      </w:pPr>
      <w:r>
        <w:rPr>
          <w:rFonts w:ascii="Arial" w:hAnsi="Arial" w:eastAsia="Arial" w:cs="Arial"/>
          <w:color w:val="000000"/>
        </w:rPr>
        <w:t>DR11 Token units truncation and answer effects</w:t>
      </w:r>
    </w:p>
    <w:p>
      <w:r>
        <w:rPr>
          <w:rFonts w:ascii="Arial" w:hAnsi="Arial" w:eastAsia="Arial" w:cs="Arial"/>
          <w:color w:val="000000"/>
        </w:rPr>
        <w:t>The tokenizer audit distinguishes cl100k_base chunking from WordPiece embedding length: 35/481 nodes exceeded the recorded 512-token embedding limit. A paired 300-answer comparison estimated completeness 0.590 versus 0.617, difference +0.027 with a 95% pair-bootstrap interval from -0.027 to +0.099. Improvement remains unproven. Retrieval and mechanism analyses retain negative results and exploratory limitations.</w:t>
      </w:r>
    </w:p>
    <w:p>
      <w:pPr>
        <w:pStyle w:val="Heading1"/>
        <w:spacing w:before="180" w:after="80"/>
      </w:pPr>
      <w:r>
        <w:rPr>
          <w:rFonts w:ascii="Arial" w:hAnsi="Arial" w:eastAsia="Arial" w:cs="Arial"/>
          <w:color w:val="000000"/>
        </w:rPr>
        <w:t>DR12 Retrieval comparisons and baselines</w:t>
      </w:r>
    </w:p>
    <w:p>
      <w:r>
        <w:rPr>
          <w:rFonts w:ascii="Arial" w:hAnsi="Arial" w:eastAsia="Arial" w:cs="Arial"/>
          <w:color w:val="000000"/>
        </w:rPr>
        <w:t>Individual component ablations and retrieval sensitivity analyses are reported in S12, S20 and S21. These development-data contrasts do not supply a no-retrieval LLM baseline or an official-site keyword baseline; neither was evaluated. The limitation is stated rather than claimed resolved.</w:t>
      </w:r>
    </w:p>
    <w:p>
      <w:pPr>
        <w:pStyle w:val="Heading1"/>
        <w:spacing w:before="180" w:after="80"/>
      </w:pPr>
      <w:r>
        <w:rPr>
          <w:rFonts w:ascii="Arial" w:hAnsi="Arial" w:eastAsia="Arial" w:cs="Arial"/>
          <w:color w:val="000000"/>
        </w:rPr>
        <w:t>DR13 Query rules and overfitting</w:t>
      </w:r>
    </w:p>
    <w:p>
      <w:r>
        <w:rPr>
          <w:rFonts w:ascii="Arial" w:hAnsi="Arial" w:eastAsia="Arial" w:cs="Arial"/>
          <w:color w:val="000000"/>
        </w:rPr>
        <w:t>Query rewriting, article anchors, fallback, neighbor injection and citation diversification are described, with separate rule ablations. Sibling expansion was tested on development-exposed questions. The new input set was frozen before generation, but was AI-authored after development exposure and coauthor-approved, so it is author-led feasibility assessment.</w:t>
      </w:r>
    </w:p>
    <w:p>
      <w:pPr>
        <w:pStyle w:val="Heading1"/>
        <w:spacing w:before="180" w:after="80"/>
      </w:pPr>
      <w:r>
        <w:rPr>
          <w:rFonts w:ascii="Arial" w:hAnsi="Arial" w:eastAsia="Arial" w:cs="Arial"/>
          <w:color w:val="000000"/>
        </w:rPr>
        <w:t>DR14 Judge quality and human evidence review</w:t>
      </w:r>
    </w:p>
    <w:p>
      <w:r>
        <w:rPr>
          <w:rFonts w:ascii="Arial" w:hAnsi="Arial" w:eastAsia="Arial" w:cs="Arial"/>
          <w:color w:val="000000"/>
        </w:rPr>
        <w:t>We report the historical 94-output coauthor comparison with its unblinded and draft-assisted provenance. Howard subsequently rated all 40 new outputs against exact selected passages, with no reported exposure to new automated scores. No new judge scores were generated. Thus the new review measures task performance, not human/automated agreement on those 40 outputs.</w:t>
      </w:r>
    </w:p>
    <w:p>
      <w:pPr>
        <w:pStyle w:val="Heading1"/>
        <w:spacing w:before="180" w:after="80"/>
      </w:pPr>
      <w:r>
        <w:rPr>
          <w:rFonts w:ascii="Arial" w:hAnsi="Arial" w:eastAsia="Arial" w:cs="Arial"/>
          <w:color w:val="000000"/>
        </w:rPr>
        <w:t>DR15 Stress-test content reused for calibration</w:t>
      </w:r>
    </w:p>
    <w:p>
      <w:r>
        <w:rPr>
          <w:rFonts w:ascii="Arial" w:hAnsi="Arial" w:eastAsia="Arial" w:cs="Arial"/>
          <w:color w:val="000000"/>
        </w:rPr>
        <w:t>The SUSAR-form and patient-identification examples, equivalent bilingual pairs and other related items are documented as calibration overlap. The claim that the stress test was not used directly for tuning has been removed. The later 40-question test is separately described with its authorship and exposure limits.</w:t>
      </w:r>
    </w:p>
    <w:p>
      <w:pPr>
        <w:pStyle w:val="Heading1"/>
        <w:spacing w:before="180" w:after="80"/>
      </w:pPr>
      <w:r>
        <w:rPr>
          <w:rFonts w:ascii="Arial" w:hAnsi="Arial" w:eastAsia="Arial" w:cs="Arial"/>
          <w:color w:val="000000"/>
        </w:rPr>
        <w:t>DR16 Naming and authorship of diagnostic tests</w:t>
      </w:r>
    </w:p>
    <w:p>
      <w:r>
        <w:rPr>
          <w:rFonts w:ascii="Arial" w:hAnsi="Arial" w:eastAsia="Arial" w:cs="Arial"/>
          <w:color w:val="000000"/>
        </w:rPr>
        <w:t>The earlier AI-authored sets are called diagnostic assessments, not external validation. Historical authoring-model/session metadata was incomplete and is disclosed as unavailable. The recent candidate questions were authored with Claude and reviewed by the coauthor. Figure 1 now uses descriptive evaluation labels.</w:t>
      </w:r>
    </w:p>
    <w:p>
      <w:pPr>
        <w:pStyle w:val="Heading1"/>
        <w:spacing w:before="180" w:after="80"/>
      </w:pPr>
      <w:r>
        <w:rPr>
          <w:rFonts w:ascii="Arial" w:hAnsi="Arial" w:eastAsia="Arial" w:cs="Arial"/>
          <w:color w:val="000000"/>
        </w:rPr>
        <w:t>DR17 Intervals in the main text</w:t>
      </w:r>
    </w:p>
    <w:p>
      <w:r>
        <w:rPr>
          <w:rFonts w:ascii="Arial" w:hAnsi="Arial" w:eastAsia="Arial" w:cs="Arial"/>
          <w:color w:val="000000"/>
        </w:rPr>
        <w:t>Headline historical metrics have pair-bootstrap intervals, while small binary all-pass strata and the new pair-success outcomes have exact pair-level binomial intervals. The unit, assumptions and limitations are stated; individual language outputs are not treated as independent observations.</w:t>
      </w:r>
    </w:p>
    <w:p>
      <w:pPr>
        <w:pStyle w:val="Heading1"/>
        <w:spacing w:before="180" w:after="80"/>
      </w:pPr>
      <w:r>
        <w:rPr>
          <w:rFonts w:ascii="Arial" w:hAnsi="Arial" w:eastAsia="Arial" w:cs="Arial"/>
          <w:color w:val="000000"/>
        </w:rPr>
        <w:t>DR18 Language mismatch in the interface</w:t>
      </w:r>
    </w:p>
    <w:p>
      <w:r>
        <w:rPr>
          <w:rFonts w:ascii="Arial" w:hAnsi="Arial" w:eastAsia="Arial" w:cs="Arial"/>
          <w:color w:val="000000"/>
        </w:rPr>
        <w:t>The archived demonstration answered English in Portuguese. The manuscript now explicitly reports this failure and does not claim bilingual deployment equivalence from the smoke test. Figure S4 is an identified interface schematic, not an altered screenshot. The new author review also records five English outputs in Portuguese.</w:t>
      </w:r>
    </w:p>
    <w:p>
      <w:pPr>
        <w:pStyle w:val="Heading1"/>
        <w:spacing w:before="180" w:after="80"/>
      </w:pPr>
      <w:r>
        <w:rPr>
          <w:rFonts w:ascii="Arial" w:hAnsi="Arial" w:eastAsia="Arial" w:cs="Arial"/>
          <w:color w:val="000000"/>
        </w:rPr>
        <w:t>DR19 Figure 2 counts and internal notes</w:t>
      </w:r>
    </w:p>
    <w:p>
      <w:r>
        <w:rPr>
          <w:rFonts w:ascii="Arial" w:hAnsi="Arial" w:eastAsia="Arial" w:cs="Arial"/>
          <w:color w:val="000000"/>
        </w:rPr>
        <w:t>Figure 2 uses distinct question rows, labels RDC 9/2015 revoked, and contains no internal audit-pass label. Its source data and updated legend are included.</w:t>
      </w:r>
    </w:p>
    <w:p>
      <w:pPr>
        <w:pStyle w:val="Heading1"/>
        <w:spacing w:before="180" w:after="80"/>
      </w:pPr>
      <w:r>
        <w:rPr>
          <w:rFonts w:ascii="Arial" w:hAnsi="Arial" w:eastAsia="Arial" w:cs="Arial"/>
          <w:color w:val="000000"/>
        </w:rPr>
        <w:t>DR20 False-premise example and inconsistent gold labels</w:t>
      </w:r>
    </w:p>
    <w:p>
      <w:r>
        <w:rPr>
          <w:rFonts w:ascii="Arial" w:hAnsi="Arial" w:eastAsia="Arial" w:cs="Arial"/>
          <w:color w:val="000000"/>
        </w:rPr>
        <w:t>The patient-identification example is discussed as a cross-language judge and answerability inconsistency. Corresponding-author adjudications are separate from original golds and ratings. A correct cited negative is not automatically a failed refusal.</w:t>
      </w:r>
    </w:p>
    <w:p>
      <w:pPr>
        <w:pStyle w:val="Heading1"/>
        <w:spacing w:before="180" w:after="80"/>
      </w:pPr>
      <w:r>
        <w:rPr>
          <w:rFonts w:ascii="Arial" w:hAnsi="Arial" w:eastAsia="Arial" w:cs="Arial"/>
          <w:color w:val="000000"/>
        </w:rPr>
        <w:t>DR22 Repair-set identity and generalization</w:t>
      </w:r>
    </w:p>
    <w:p>
      <w:r>
        <w:rPr>
          <w:rFonts w:ascii="Arial" w:hAnsi="Arial" w:eastAsia="Arial" w:cs="Arial"/>
          <w:color w:val="000000"/>
        </w:rPr>
        <w:t>All 75 English and 75 Portuguese repair IDs match their respective internal-baseline subsets. The text and Figure 3 legends call these paired descriptive development comparisons. Figure 3A uses unconnected points and makes no trend or generalization claim.</w:t>
      </w:r>
    </w:p>
    <w:p>
      <w:pPr>
        <w:pStyle w:val="Heading1"/>
        <w:spacing w:before="180" w:after="80"/>
      </w:pPr>
      <w:r>
        <w:rPr>
          <w:rFonts w:ascii="Arial" w:hAnsi="Arial" w:eastAsia="Arial" w:cs="Arial"/>
          <w:color w:val="000000"/>
        </w:rPr>
        <w:t>DR24 Unanswerable labels and refusal counts</w:t>
      </w:r>
    </w:p>
    <w:p>
      <w:r>
        <w:rPr>
          <w:rFonts w:ascii="Arial" w:hAnsi="Arial" w:eastAsia="Arial" w:cs="Arial"/>
          <w:color w:val="000000"/>
        </w:rPr>
        <w:t>The reviewed labels and approved archived-corpus adjudications are retained separately. Refusal is reported as pair counts with small-sample intervals. In the new frozen test all 4/4 unanswerable pairs passed; this is distinct from the 0/4 partly answerable result.</w:t>
      </w:r>
    </w:p>
    <w:p>
      <w:pPr>
        <w:pStyle w:val="Heading1"/>
        <w:spacing w:before="180" w:after="80"/>
      </w:pPr>
      <w:r>
        <w:rPr>
          <w:rFonts w:ascii="Arial" w:hAnsi="Arial" w:eastAsia="Arial" w:cs="Arial"/>
          <w:color w:val="000000"/>
        </w:rPr>
        <w:t>DR25 Cross-language inconsistency of the judge</w:t>
      </w:r>
    </w:p>
    <w:p>
      <w:r>
        <w:rPr>
          <w:rFonts w:ascii="Arial" w:hAnsi="Arial" w:eastAsia="Arial" w:cs="Arial"/>
          <w:color w:val="000000"/>
        </w:rPr>
        <w:t>The earlier Portuguese/English refusal difference is traced to an inconsistent judgment on the patient-identification pair and is not presented as evidence of an intrinsic language effect. Original scores remain available for audit.</w:t>
      </w:r>
    </w:p>
    <w:p>
      <w:pPr>
        <w:pStyle w:val="Heading1"/>
        <w:spacing w:before="180" w:after="80"/>
      </w:pPr>
      <w:r>
        <w:rPr>
          <w:rFonts w:ascii="Arial" w:hAnsi="Arial" w:eastAsia="Arial" w:cs="Arial"/>
          <w:color w:val="000000"/>
        </w:rPr>
        <w:t>DR26 Refusal test reflects enumerated prompt categories</w:t>
      </w:r>
    </w:p>
    <w:p>
      <w:r>
        <w:rPr>
          <w:rFonts w:ascii="Arial" w:hAnsi="Arial"/>
          <w:color w:val="000000"/>
        </w:rPr>
        <w:t>The post-calibration set shares development categories and is reported descriptively, without independent generalization claims. The frozen author assessment exposed a conflict between blanket refusal and the partly answerable task. Subsequent prompt and component diagnostics documented policy and evidence contributions, unsuccessful reminders, language failures and cited refusals (S33 and S34). The combined comparison completed 240 generations on all 40 development questions, with three repeats per condition (S35). Full-task bilingual-pair success was 8/20, 9/20 and 9/20 with original inputs versus 14/20, 15/20 and 14/20 with manually supplemented complete archived clauses and revised instructions. The mean paired gain was 28.3 percentage points (pair-cluster 95% interval 10.0 to 48.3); 7/20 versus 14/20 pairs passed every repeat. However, none of four partly answerable pairs passed all repeats. Wrong-language outputs fell from 16/120 to 3/120, while citation-format failures rose from 5/120 to 7/120. Frozen secondary reference omissions, missing-detail failures and misinterpretation of exceptions remain documented. These unblinded AI-assisted development findings need human confirmation. Manually selected evidence and bundled instructions do not establish an improved retrieval system or independent validation. Howard’s original 10/20 result is unchanged; no repair was deployed.</w:t>
      </w:r>
    </w:p>
    <w:p>
      <w:pPr>
        <w:pStyle w:val="Heading1"/>
        <w:spacing w:before="180" w:after="80"/>
      </w:pPr>
      <w:r>
        <w:rPr>
          <w:rFonts w:ascii="Arial" w:hAnsi="Arial" w:eastAsia="Arial" w:cs="Arial"/>
          <w:color w:val="000000"/>
        </w:rPr>
        <w:t>DR27 Penalty question and answerable controls</w:t>
      </w:r>
    </w:p>
    <w:p>
      <w:r>
        <w:rPr>
          <w:rFonts w:ascii="Arial" w:hAnsi="Arial" w:eastAsia="Arial" w:cs="Arial"/>
          <w:color w:val="000000"/>
        </w:rPr>
        <w:t>The disputed penalty item is treated as an answerability/reference issue within the separate adjudication records. The 12 answerable-control outputs and their uncertainty are reported without claiming a causal trade-off from unmatched sets.</w:t>
      </w:r>
    </w:p>
    <w:p>
      <w:pPr>
        <w:pStyle w:val="Heading1"/>
        <w:spacing w:before="180" w:after="80"/>
      </w:pPr>
      <w:r>
        <w:rPr>
          <w:rFonts w:ascii="Arial" w:hAnsi="Arial" w:eastAsia="Arial" w:cs="Arial"/>
          <w:color w:val="000000"/>
        </w:rPr>
        <w:t>DR28 Figures and repeated discussion</w:t>
      </w:r>
    </w:p>
    <w:p>
      <w:r>
        <w:rPr>
          <w:rFonts w:ascii="Arial" w:hAnsi="Arial" w:eastAsia="Arial" w:cs="Arial"/>
          <w:color w:val="000000"/>
        </w:rPr>
        <w:t>Figure 3B bars start at zero. Figure 3A has unconnected points, with stage overlap identified in the legend. Figure 1 includes query rewriting, anchors, context selection and evidence classification. The cropped screenshot is replaced by an explicitly labelled interface schematic. Figure 4 reports the new pair counts and exact intervals. Prose is edited for direct statements, and all editable submission text uses Arial with black font and no en or em dash punctuation.</w:t>
      </w:r>
    </w:p>
    <w:p>
      <w:pPr>
        <w:pStyle w:val="Heading1"/>
        <w:spacing w:before="180" w:after="80"/>
      </w:pPr>
      <w:r>
        <w:rPr>
          <w:rFonts w:ascii="Arial" w:hAnsi="Arial" w:eastAsia="Arial" w:cs="Arial"/>
          <w:color w:val="000000"/>
        </w:rPr>
        <w:t>DR29 Second-author review</w:t>
      </w:r>
    </w:p>
    <w:p>
      <w:r>
        <w:rPr>
          <w:rFonts w:ascii="Arial" w:hAnsi="Arial" w:eastAsia="Arial" w:cs="Arial"/>
          <w:color w:val="000000"/>
        </w:rPr>
        <w:t>The second author completed the historical and sibling reviews already described and now provided the 40-row outcome review. The actual date is 30 October 2026, confirmed by the corresponding author; the original CSV date is preserved with a correction overlay. The review is reference-informed and author-led, with prior development exposure, so it is not described as independent blinded validation.</w:t>
      </w:r>
    </w:p>
    <w:p>
      <w:pPr>
        <w:pStyle w:val="Heading1"/>
        <w:spacing w:before="180" w:after="80"/>
      </w:pPr>
      <w:r>
        <w:rPr>
          <w:rFonts w:ascii="Arial" w:hAnsi="Arial" w:eastAsia="Arial" w:cs="Arial"/>
          <w:color w:val="000000"/>
        </w:rPr>
        <w:t>DR30 Amendments revocation and operational safety</w:t>
      </w:r>
    </w:p>
    <w:p>
      <w:r>
        <w:rPr>
          <w:rFonts w:ascii="Arial" w:hAnsi="Arial" w:eastAsia="Arial" w:cs="Arial"/>
          <w:color w:val="000000"/>
        </w:rPr>
        <w:t>The limitations explicitly state that the system does not automatically track amendments or revocations, assemble consolidated versions or reliably warn of superseded provisions. Users must check the official provision and applicable date. The source audit is research documentation, not an implemented current-law monitoring feature.</w:t>
      </w:r>
    </w:p>
    <w:p>
      <w:pPr>
        <w:pStyle w:val="Heading1"/>
        <w:spacing w:before="180" w:after="80"/>
      </w:pPr>
      <w:r>
        <w:rPr>
          <w:rFonts w:ascii="Arial" w:hAnsi="Arial" w:eastAsia="Arial" w:cs="Arial"/>
          <w:color w:val="000000"/>
        </w:rPr>
        <w:t>DR31 Author contributions</w:t>
      </w:r>
    </w:p>
    <w:p>
      <w:r>
        <w:rPr>
          <w:rFonts w:ascii="Arial" w:hAnsi="Arial" w:eastAsia="Arial" w:cs="Arial"/>
          <w:color w:val="000000"/>
        </w:rPr>
        <w:t>The contributions statement distinguishes the corresponding author’s software and analysis work from the coauthor’s regulatory framing, interpretation, question and answer review, and manuscript revision. Supplementary provenance no longer characterizes the entire study as one-researcher work.</w:t>
      </w:r>
    </w:p>
    <w:p>
      <w:pPr>
        <w:pStyle w:val="Heading1"/>
        <w:spacing w:before="180" w:after="80"/>
      </w:pPr>
      <w:r>
        <w:rPr>
          <w:rFonts w:ascii="Arial" w:hAnsi="Arial" w:eastAsia="Arial" w:cs="Arial"/>
          <w:color w:val="000000"/>
        </w:rPr>
        <w:t>DR32 Reviewer access package completeness and working notes</w:t>
      </w:r>
    </w:p>
    <w:p>
      <w:r>
        <w:rPr>
          <w:rFonts w:ascii="Arial" w:hAnsi="Arial" w:eastAsia="Arial" w:cs="Arial"/>
          <w:color w:val="000000"/>
        </w:rPr>
        <w:t>The public repository URL is stated in Data Availability. The package includes a reader index, source checksums, cleaning script and code archive, all modified figures, tables, supplements and selected data. Internal local paths and publication recommendations are removed from reader-facing narratives; original raw records are preserved in the local archive. The earlier cumulative response is retained locally; this letter consolidates the responses by comment.</w:t>
      </w:r>
    </w:p>
    <w:p>
      <w:pPr>
        <w:pStyle w:val="Heading1"/>
        <w:spacing w:before="180" w:after="80"/>
      </w:pPr>
      <w:r>
        <w:rPr>
          <w:rFonts w:ascii="Arial" w:hAnsi="Arial" w:eastAsia="Arial" w:cs="Arial"/>
          <w:color w:val="000000"/>
        </w:rPr>
        <w:t>DR33 Revoked reference</w:t>
      </w:r>
    </w:p>
    <w:p>
      <w:r>
        <w:rPr>
          <w:rFonts w:ascii="Arial" w:hAnsi="Arial" w:eastAsia="Arial" w:cs="Arial"/>
          <w:color w:val="000000"/>
        </w:rPr>
        <w:t>The RDC 9/2015 reference states its revoked status and relationship to RDC 945/2024. It remains cited only where needed to identify historical corpus and benchmark evidence.</w:t>
      </w:r>
    </w:p>
    <w:p>
      <w:pPr>
        <w:pStyle w:val="Heading1"/>
        <w:spacing w:before="180" w:after="80"/>
      </w:pPr>
      <w:r>
        <w:rPr>
          <w:rFonts w:ascii="Arial" w:hAnsi="Arial" w:eastAsia="Arial" w:cs="Arial"/>
          <w:color w:val="000000"/>
        </w:rPr>
        <w:t>DR34 Model documentation reference</w:t>
      </w:r>
    </w:p>
    <w:p>
      <w:r>
        <w:rPr>
          <w:rFonts w:ascii="Arial" w:hAnsi="Arial" w:eastAsia="Arial" w:cs="Arial"/>
          <w:color w:val="000000"/>
        </w:rPr>
        <w:t>The model reference no longer treats Gemini 2.5 Flash-Lite documentation as proof of the historical unpinned backend. Recorded later responses identify gemini-3.5-flash-lite; unavailable July version metadata remains explicitly unavailable.</w:t>
      </w:r>
    </w:p>
    <w:p>
      <w:pPr>
        <w:keepNext/>
      </w:pPr>
      <w:r>
        <w:rPr>
          <w:rFonts w:ascii="Arial" w:hAnsi="Arial" w:eastAsia="Arial" w:cs="Arial"/>
          <w:color w:val="000000"/>
        </w:rPr>
        <w:t>Sincerely,</w:t>
      </w:r>
    </w:p>
    <w:p>
      <w:pPr>
        <w:keepNext w:val="0"/>
      </w:pPr>
      <w:r>
        <w:rPr>
          <w:rFonts w:ascii="Arial" w:hAnsi="Arial" w:eastAsia="Arial" w:cs="Arial"/>
          <w:color w:val="000000"/>
        </w:rPr>
        <w:t>The authors</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rPr>
      <w:rFonts w:ascii="Arial" w:hAnsi="Arial"/>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000000"/>
      <w:sz w:val="20"/>
      <w:szCs w:val="20"/>
    </w:rPr>
  </w:style>
  <w:style w:type="character" w:default="1" w:styleId="DefaultParagraphFont">
    <w:name w:val="Default Paragraph Font"/>
    <w:uiPriority w:val="1"/>
    <w:semiHidden/>
    <w:unhideWhenUsed/>
    <w:rPr>
      <w:rFonts w:ascii="Arial" w:hAnsi="Arial"/>
      <w:color w:val="000000"/>
    </w:rPr>
  </w:style>
  <w:style w:type="table" w:default="1" w:styleId="TableNormal">
    <w:name w:val="Normal Table"/>
    <w:uiPriority w:val="99"/>
    <w:semiHidden/>
    <w:unhideWhenUsed/>
    <w:rPr>
      <w:rFonts w:ascii="Arial" w:hAnsi="Arial"/>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i/>
      <w:iCs/>
      <w:color w:val="000000"/>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rPr>
      <w:rFonts w:ascii="Arial" w:hAnsi="Arial"/>
      <w:color w:val="000000"/>
    </w:rPr>
  </w:style>
  <w:style w:type="paragraph" w:styleId="BodyText2">
    <w:name w:val="Body Text 2"/>
    <w:basedOn w:val="Normal"/>
    <w:link w:val="BodyText2Char"/>
    <w:uiPriority w:val="99"/>
    <w:unhideWhenUsed/>
    <w:rsid w:val="00AA1D8D"/>
    <w:pPr>
      <w:spacing w:after="120" w:line="480" w:lineRule="auto"/>
    </w:pPr>
    <w:rPr>
      <w:rFonts w:ascii="Arial" w:hAnsi="Arial"/>
      <w:color w:val="000000"/>
    </w:rPr>
  </w:style>
  <w:style w:type="character" w:customStyle="1" w:styleId="BodyText2Char">
    <w:name w:val="Body Text 2 Char"/>
    <w:basedOn w:val="DefaultParagraphFont"/>
    <w:link w:val="BodyText2"/>
    <w:uiPriority w:val="99"/>
    <w:rsid w:val="00AA1D8D"/>
    <w:rPr>
      <w:rFonts w:ascii="Arial" w:hAnsi="Arial"/>
      <w:color w:val="000000"/>
    </w:rPr>
  </w:style>
  <w:style w:type="paragraph" w:styleId="BodyText3">
    <w:name w:val="Body Text 3"/>
    <w:basedOn w:val="Normal"/>
    <w:link w:val="BodyText3Char"/>
    <w:uiPriority w:val="99"/>
    <w:unhideWhenUsed/>
    <w:rsid w:val="00AA1D8D"/>
    <w:pPr>
      <w:spacing w:after="120"/>
    </w:pPr>
    <w:rPr>
      <w:rFonts w:ascii="Arial" w:hAnsi="Arial"/>
      <w:color w:val="000000"/>
      <w:sz w:val="16"/>
      <w:szCs w:val="16"/>
    </w:rPr>
  </w:style>
  <w:style w:type="character" w:customStyle="1" w:styleId="BodyText3Char">
    <w:name w:val="Body Text 3 Char"/>
    <w:basedOn w:val="DefaultParagraphFont"/>
    <w:link w:val="BodyText3"/>
    <w:uiPriority w:val="99"/>
    <w:rsid w:val="00AA1D8D"/>
    <w:rPr>
      <w:rFonts w:ascii="Arial" w:hAnsi="Arial"/>
      <w:color w:val="000000"/>
      <w:sz w:val="16"/>
      <w:szCs w:val="16"/>
    </w:rPr>
  </w:style>
  <w:style w:type="paragraph" w:styleId="List">
    <w:name w:val="List"/>
    <w:basedOn w:val="Normal"/>
    <w:uiPriority w:val="99"/>
    <w:unhideWhenUsed/>
    <w:rsid w:val="00AA1D8D"/>
    <w:pPr>
      <w:ind w:left="360" w:hanging="360"/>
      <w:contextualSpacing/>
    </w:pPr>
    <w:rPr>
      <w:rFonts w:ascii="Arial" w:hAnsi="Arial"/>
      <w:color w:val="000000"/>
    </w:rPr>
  </w:style>
  <w:style w:type="paragraph" w:styleId="List2">
    <w:name w:val="List 2"/>
    <w:basedOn w:val="Normal"/>
    <w:uiPriority w:val="99"/>
    <w:unhideWhenUsed/>
    <w:rsid w:val="00326F90"/>
    <w:pPr>
      <w:ind w:left="720" w:hanging="360"/>
      <w:contextualSpacing/>
    </w:pPr>
    <w:rPr>
      <w:rFonts w:ascii="Arial" w:hAnsi="Arial"/>
      <w:color w:val="000000"/>
    </w:rPr>
  </w:style>
  <w:style w:type="paragraph" w:styleId="List3">
    <w:name w:val="List 3"/>
    <w:basedOn w:val="Normal"/>
    <w:uiPriority w:val="99"/>
    <w:unhideWhenUsed/>
    <w:rsid w:val="00326F90"/>
    <w:pPr>
      <w:ind w:left="1080" w:hanging="360"/>
      <w:contextualSpacing/>
    </w:pPr>
    <w:rPr>
      <w:rFonts w:ascii="Arial" w:hAnsi="Arial"/>
      <w:color w:val="000000"/>
    </w:r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rPr>
      <w:rFonts w:ascii="Arial" w:hAnsi="Arial"/>
      <w:color w:val="000000"/>
    </w:r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rPr>
      <w:rFonts w:ascii="Arial" w:hAnsi="Arial"/>
      <w:color w:val="000000"/>
    </w:rPr>
  </w:style>
  <w:style w:type="paragraph" w:styleId="ListNumber3">
    <w:name w:val="List Number 3"/>
    <w:basedOn w:val="Normal"/>
    <w:uiPriority w:val="99"/>
    <w:unhideWhenUsed/>
    <w:rsid w:val="0029639D"/>
    <w:pPr>
      <w:numPr>
        <w:numId w:val="7"/>
      </w:numPr>
      <w:contextualSpacing/>
    </w:pPr>
    <w:rPr>
      <w:rFonts w:ascii="Arial" w:hAnsi="Arial"/>
      <w:color w:val="000000"/>
    </w:rPr>
  </w:style>
  <w:style w:type="paragraph" w:styleId="ListContinue">
    <w:name w:val="List Continue"/>
    <w:basedOn w:val="Normal"/>
    <w:uiPriority w:val="99"/>
    <w:unhideWhenUsed/>
    <w:rsid w:val="0029639D"/>
    <w:pPr>
      <w:spacing w:after="120"/>
      <w:ind w:left="360"/>
      <w:contextualSpacing/>
    </w:pPr>
    <w:rPr>
      <w:rFonts w:ascii="Arial" w:hAnsi="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Arial" w:hAnsi="Arial"/>
      <w:color w:val="000000"/>
      <w:sz w:val="20"/>
      <w:szCs w:val="20"/>
    </w:rPr>
  </w:style>
  <w:style w:type="paragraph" w:styleId="Quote">
    <w:name w:val="Quote"/>
    <w:basedOn w:val="Normal"/>
    <w:next w:val="Normal"/>
    <w:link w:val="QuoteChar"/>
    <w:uiPriority w:val="29"/>
    <w:qFormat/>
    <w:rsid w:val="00FC693F"/>
    <w:rPr>
      <w:rFonts w:ascii="Arial" w:hAnsi="Arial"/>
      <w:i/>
      <w:iCs/>
      <w:color w:val="000000"/>
    </w:rPr>
  </w:style>
  <w:style w:type="character" w:customStyle="1" w:styleId="QuoteChar">
    <w:name w:val="Quote Char"/>
    <w:basedOn w:val="DefaultParagraphFont"/>
    <w:link w:val="Quote"/>
    <w:uiPriority w:val="29"/>
    <w:rsid w:val="00FC693F"/>
    <w:rPr>
      <w:rFonts w:ascii="Arial" w:hAnsi="Arial"/>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rFonts w:ascii="Arial" w:hAnsi="Arial"/>
      <w:b/>
      <w:bCs/>
      <w:color w:val="000000"/>
    </w:rPr>
  </w:style>
  <w:style w:type="character" w:styleId="Emphasis">
    <w:name w:val="Emphasis"/>
    <w:basedOn w:val="DefaultParagraphFont"/>
    <w:uiPriority w:val="20"/>
    <w:qFormat/>
    <w:rsid w:val="00FC693F"/>
    <w:rPr>
      <w:rFonts w:ascii="Arial" w:hAnsi="Arial"/>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000000"/>
    </w:rPr>
  </w:style>
  <w:style w:type="character" w:customStyle="1" w:styleId="IntenseQuoteChar">
    <w:name w:val="Intense Quote Char"/>
    <w:basedOn w:val="DefaultParagraphFont"/>
    <w:link w:val="IntenseQuote"/>
    <w:uiPriority w:val="30"/>
    <w:rsid w:val="00FC693F"/>
    <w:rPr>
      <w:rFonts w:ascii="Arial" w:hAnsi="Arial"/>
      <w:b/>
      <w:bCs/>
      <w:i/>
      <w:iCs/>
      <w:color w:val="000000"/>
    </w:rPr>
  </w:style>
  <w:style w:type="character" w:styleId="SubtleEmphasis">
    <w:name w:val="Subtle Emphasis"/>
    <w:basedOn w:val="DefaultParagraphFont"/>
    <w:uiPriority w:val="19"/>
    <w:qFormat/>
    <w:rsid w:val="00FC693F"/>
    <w:rPr>
      <w:rFonts w:ascii="Arial" w:hAnsi="Arial"/>
      <w:i/>
      <w:iCs/>
      <w:color w:val="000000"/>
    </w:rPr>
  </w:style>
  <w:style w:type="character" w:styleId="IntenseEmphasis">
    <w:name w:val="Intense Emphasis"/>
    <w:basedOn w:val="DefaultParagraphFont"/>
    <w:uiPriority w:val="21"/>
    <w:qFormat/>
    <w:rsid w:val="00FC693F"/>
    <w:rPr>
      <w:rFonts w:ascii="Arial" w:hAnsi="Arial"/>
      <w:b/>
      <w:bCs/>
      <w:i/>
      <w:iCs/>
      <w:color w:val="000000"/>
    </w:rPr>
  </w:style>
  <w:style w:type="character" w:styleId="SubtleReference">
    <w:name w:val="Subtle Reference"/>
    <w:basedOn w:val="DefaultParagraphFont"/>
    <w:uiPriority w:val="31"/>
    <w:qFormat/>
    <w:rsid w:val="00FC693F"/>
    <w:rPr>
      <w:rFonts w:ascii="Arial" w:hAnsi="Arial"/>
      <w:smallCaps/>
      <w:color w:val="000000"/>
      <w:u w:val="single"/>
    </w:rPr>
  </w:style>
  <w:style w:type="character" w:styleId="IntenseReference">
    <w:name w:val="Intense Reference"/>
    <w:basedOn w:val="DefaultParagraphFont"/>
    <w:uiPriority w:val="32"/>
    <w:qFormat/>
    <w:rsid w:val="00FC693F"/>
    <w:rPr>
      <w:rFonts w:ascii="Arial" w:hAnsi="Arial"/>
      <w:b/>
      <w:bCs/>
      <w:smallCaps/>
      <w:color w:val="000000"/>
      <w:spacing w:val="5"/>
      <w:u w:val="single"/>
    </w:rPr>
  </w:style>
  <w:style w:type="character" w:styleId="BookTitle">
    <w:name w:val="Book Title"/>
    <w:basedOn w:val="DefaultParagraphFont"/>
    <w:uiPriority w:val="33"/>
    <w:qFormat/>
    <w:rsid w:val="00FC693F"/>
    <w:rPr>
      <w:rFonts w:ascii="Arial" w:hAnsi="Arial"/>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rPr>
      <w:rFonts w:ascii="Arial" w:hAnsi="Arial"/>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