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Supplementary Tables</w:t>
      </w:r>
    </w:p>
    <w:p>
      <w:r>
        <w:rPr>
          <w:rFonts w:ascii="Arial" w:hAnsi="Arial"/>
          <w:b w:val="0"/>
          <w:i w:val="0"/>
          <w:sz w:val="22"/>
        </w:rPr>
        <w:t>Title: Bilingual Retrieval-Augmented Access to ANVISA Regulatory Documents</w:t>
      </w:r>
    </w:p>
    <w:p>
      <w:r>
        <w:rPr>
          <w:rFonts w:ascii="Arial" w:hAnsi="Arial"/>
          <w:b w:val="0"/>
          <w:i w:val="0"/>
          <w:sz w:val="22"/>
        </w:rPr>
        <w:t>Prepared: 2026-07-20</w:t>
      </w:r>
    </w:p>
    <w:p>
      <w:pPr>
        <w:pStyle w:val="Heading2"/>
      </w:pPr>
      <w:r>
        <w:t>Supplementary Table S1. Expanded development decision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5"/>
        <w:gridCol w:w="2765"/>
        <w:gridCol w:w="2765"/>
        <w:gridCol w:w="2765"/>
        <w:gridCol w:w="2765"/>
      </w:tblGrid>
      <w:tr>
        <w:trPr>
          <w:cantSplit/>
          <w:tblHeader w:val="true"/>
        </w:trPr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Question category or system issue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What the system did well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What went wrong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What was changed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What this means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Source cleaning and document identity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project identified the intended regulatory corpus.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Local source files included formatting artifacts and one misleading local file name.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Source text was cleaned and document identity was checked against official regulation names.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Regulatory RAG needs a stable and auditable corpus before retrieval metrics are interpretable.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Direct article questions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Retrieved and cited the correct article for compact questions.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Some answers still omitted conditions.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Article-level indexing and completeness prompting were added.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Useful for navigation, but citations must be checked.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English questions over Portuguese sources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Improved after Portuguese retrieval anchors.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English completeness was initially weak.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Conservative bilingual term anchors were added.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Bilingual search is feasible but needs controlled terminology.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Rule-plus-exception questions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Often found the right document.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Sometimes gave the exception without the general rule.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Rule-plus-exception failures were tracked separately.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Regulatory answers must preserve legal structure.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Long-list questions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Often found the right article.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Omitted one element, condition, or deadline.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Answer-completeness checks were added.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Average metrics can hide operationally important omissions.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False-premise questions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Could correct the premise and cite evidence.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Automated labels could confuse false premise with refusal.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False-premise questions were kept as a separate category.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These questions should not be merged with ordinary unanswerable questions.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Current or operational facts outside corpus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Refused after calibration.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Earlier system answered from nearby general text.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 stricter refusal rule and separate refusal test were added.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Refusal calibration is central for regulatory safety.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AI-authored prospective-test questions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Confirmed strong answerable-question behavior.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Refusal correctness dropped to 0.700.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Refusal was repaired using separate development data.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AI-authored prospective testing changed the project story.</w:t>
            </w:r>
          </w:p>
        </w:tc>
      </w:tr>
    </w:tbl>
    <w:p/>
    <w:p>
      <w:pPr>
        <w:pStyle w:val="Heading2"/>
      </w:pPr>
      <w:r>
        <w:t>Supplementary Table S2. Expanded representative answer outcomes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  <w:gridCol w:w="3456"/>
      </w:tblGrid>
      <w:tr>
        <w:trPr>
          <w:cantSplit/>
          <w:tblHeader w:val="true"/>
        </w:trPr>
        <w:tc>
          <w:tcPr>
            <w:tcW w:type="dxa" w:w="3456"/>
          </w:tcPr>
          <w:p>
            <w:r>
              <w:rPr>
                <w:rFonts w:ascii="Arial" w:hAnsi="Arial"/>
                <w:b/>
                <w:sz w:val="17"/>
              </w:rPr>
              <w:t>Question type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/>
                <w:sz w:val="17"/>
              </w:rPr>
              <w:t>Example question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/>
                <w:sz w:val="17"/>
              </w:rPr>
              <w:t>System behavior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/>
                <w:sz w:val="17"/>
              </w:rPr>
              <w:t>Interpretation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Correct answer, pharmacovigilance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Which minimum information makes a notification valid and reportable?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Retrieved RDC 406/2020, Art. 32 and listed the minimum elements.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Correct source and correct main answer.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Correct false-premise handling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Is a notification valid without patient identification if the suspected medicine is named?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Answered no and cited RDC 406/2020, Art. 32.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Useful because it corrected the premise.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Correct clinical-trial safety answer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Does possible SUSAR reporting allow unblinding all participants?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Answered no; unblinding is limited to the affected participant and cited RDC 945/2024, Art. 67.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Correct and relevant to trial conduct.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Correct refusal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What is the current MedDRA version required today?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Refused because the indexed documents mention MedDRA but not the current required version.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Appropriate refusal for current operational information.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Correct refusal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What is the current phone number for Anvisa support for the adverse-event notification system?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Refused because the corpus does not contain current support contact information.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Appropriate evidence boundary.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Incomplete answer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What information must appear for non-printed instructions for use?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Retrieved RDC 751/2022, Art. 51 but omitted that instructions must remain available while the product is on the market.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Correct article, incomplete answer.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Incomplete answer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Can a foreign-manufactured biological product be registered without registration in the manufacturing country?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Gave the exception but did not clearly state the general rule.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Risk of treating an exception as the whole rule.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False refusal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Under RDC 945/2024, until when must DSURs be sent to Anvisa and what is the annual reference date?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Refused in one English prospective-test row although the corpus contained the answer.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Retrieval or answer threshold failure.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Refusal failure before calibration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What is the current electronic form model for notifying SUSARs to Anvisa?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Earlier AI-authored prospective testing sometimes answered with the general electronic-notification requirement.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Related context was mistaken for sufficient evidence.</w:t>
            </w:r>
          </w:p>
        </w:tc>
      </w:tr>
    </w:tbl>
    <w:p/>
    <w:p>
      <w:pPr>
        <w:pStyle w:val="Heading2"/>
      </w:pPr>
      <w:r>
        <w:t>Supplementary Table S3. Evaluation-stage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rPr>
          <w:cantSplit/>
          <w:tblHeader w:val="true"/>
        </w:trPr>
        <w:tc>
          <w:tcPr>
            <w:tcW w:type="dxa" w:w="4608"/>
          </w:tcPr>
          <w:p>
            <w:r>
              <w:rPr>
                <w:rFonts w:ascii="Arial" w:hAnsi="Arial"/>
                <w:b/>
                <w:sz w:val="17"/>
              </w:rPr>
              <w:t>Stage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/>
                <w:sz w:val="17"/>
              </w:rPr>
              <w:t>Main finding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/>
                <w:sz w:val="17"/>
              </w:rPr>
              <w:t>Use in interpretation</w:t>
            </w:r>
          </w:p>
        </w:tc>
      </w:tr>
      <w:tr>
        <w:trPr>
          <w:cantSplit/>
        </w:trPr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Initial held-out evaluation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English completeness was the weak point; some answers omitted list items, conditions, or exceptions.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Development diagnosis.</w:t>
            </w:r>
          </w:p>
        </w:tc>
      </w:tr>
      <w:tr>
        <w:trPr>
          <w:cantSplit/>
        </w:trPr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Post-repair internal evaluation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High internal scores showed that the repaired system passed the curated benchmark.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Internal technical check, not independent validation.</w:t>
            </w:r>
          </w:p>
        </w:tc>
      </w:tr>
      <w:tr>
        <w:trPr>
          <w:cantSplit/>
        </w:trPr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AI-authored prospective stress test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Answerable questions were mostly supported, but refusal behavior was weak.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Diagnostic prospective evidence that changed the project focus.</w:t>
            </w:r>
          </w:p>
        </w:tc>
      </w:tr>
      <w:tr>
        <w:trPr>
          <w:cantSplit/>
        </w:trPr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Refusal-focused AI-authored test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Refusal improved after separate calibration, with no over-refusal on answerable controls.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Focused AI-authored check of refusal calibration.</w:t>
            </w:r>
          </w:p>
        </w:tc>
      </w:tr>
    </w:tbl>
    <w:p/>
    <w:p>
      <w:pPr>
        <w:pStyle w:val="Heading2"/>
      </w:pPr>
      <w:r>
        <w:t>Supplementary Table S4. Main-table disposition after revision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rPr>
          <w:cantSplit/>
          <w:tblHeader w:val="true"/>
        </w:trPr>
        <w:tc>
          <w:tcPr>
            <w:tcW w:type="dxa" w:w="4608"/>
          </w:tcPr>
          <w:p>
            <w:r>
              <w:rPr>
                <w:rFonts w:ascii="Arial" w:hAnsi="Arial"/>
                <w:b/>
                <w:sz w:val="17"/>
              </w:rPr>
              <w:t>Original table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/>
                <w:sz w:val="17"/>
              </w:rPr>
              <w:t>Revision decision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/>
                <w:sz w:val="17"/>
              </w:rPr>
              <w:t>Reason</w:t>
            </w:r>
          </w:p>
        </w:tc>
      </w:tr>
      <w:tr>
        <w:trPr>
          <w:cantSplit/>
        </w:trPr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Table 1. Regulatory domains represented in the corpus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Replaced with a shorter corpus-and-use-case table.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Reduces page splitting and overlaps less with Figure 2.</w:t>
            </w:r>
          </w:p>
        </w:tc>
      </w:tr>
      <w:tr>
        <w:trPr>
          <w:cantSplit/>
        </w:trPr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Table 2. Question categories and corrective actions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Condensed in the main text and expanded as Supplementary Table S1.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Full version was too dense for the main manuscript.</w:t>
            </w:r>
          </w:p>
        </w:tc>
      </w:tr>
      <w:tr>
        <w:trPr>
          <w:cantSplit/>
        </w:trPr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Table 3. Representative examples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Condensed in the main text and expanded as Supplementary Table S2.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Keeps the story visible while moving audit-level detail to the supplement.</w:t>
            </w:r>
          </w:p>
        </w:tc>
      </w:tr>
      <w:tr>
        <w:trPr>
          <w:cantSplit/>
        </w:trPr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Table 4. Summary of evaluation stages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Removed from the main text and moved to Supplementary Table S3.</w:t>
            </w:r>
          </w:p>
        </w:tc>
        <w:tc>
          <w:tcPr>
            <w:tcW w:type="dxa" w:w="4608"/>
          </w:tcPr>
          <w:p>
            <w:r>
              <w:rPr>
                <w:rFonts w:ascii="Arial" w:hAnsi="Arial"/>
                <w:b w:val="0"/>
                <w:sz w:val="17"/>
              </w:rPr>
              <w:t>Redundant with Figure 3A and Figure 3B.</w:t>
            </w:r>
          </w:p>
        </w:tc>
      </w:tr>
    </w:tbl>
    <w:p/>
    <w:p>
      <w:pPr>
        <w:pStyle w:val="Heading2"/>
      </w:pPr>
      <w:r>
        <w:t>Supplementary Table S5. Decision trace from course notebooks to final ANVISA RAG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5"/>
        <w:gridCol w:w="2765"/>
        <w:gridCol w:w="2765"/>
        <w:gridCol w:w="2765"/>
        <w:gridCol w:w="2765"/>
      </w:tblGrid>
      <w:tr>
        <w:trPr>
          <w:cantSplit/>
          <w:tblHeader w:val="true"/>
        </w:trPr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Stage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Local evidence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Main decision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Reason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/>
                <w:sz w:val="17"/>
              </w:rPr>
              <w:t>Effect on final system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Course notebook 1: local LLM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Course notebook file and repository copy `notebooks/1_LLM.ipynb`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Start from a Python project pattern with environment.yml, .env, src/config.py, src/model_loader.py, src/engine.py, and main.py.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course notebook provided a simple, reproducible local LLM scaffold.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final project kept the separated configuration, model-loading, engine, and app structure.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Course notebook 2: chatbot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Course notebook file and repository copy `notebooks/2_chatbot.ipynb`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Add a chat interface and system prompt rather than a one-shot completion loop.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target use case was question answering by regulatory users.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final app kept an interactive Streamlit question-answer interface, although the final evaluation used scripted runs.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Course notebook 3: generic RAG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Course notebook file and repository copy `notebooks/3_rag.ipynb`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Replace the demonstration corpus with selected ANVISA text files.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project idea was to adapt the teaching RAG workflow from a generic text example to regulatory documents.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data folder became a closed ANVISA corpus rather than an open web or general-document system.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Borrowed Shenia source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src_RAG_Shenia/engine.py in the recovered project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Test a stronger RAG pattern using semantic splitting, HyDE, reranking, and chat memory.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borrowed source worked in another project and showed useful retrieval options beyond the teacher notebook.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Some ideas were retained conceptually, especially reranking, but HyDE/semantic splitting/chat memory were not the final regulatory design.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First ANVISA implementation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Recovered ANVISA RAG project folder and Codex recovered copy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Build an ANVISA Streamlit app with LlamaIndex, local embeddings, Gemini, and indexed ANVISA text files.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original DSAI2 project folder was later moved; the recovered project contains the app, ANVISA data, cleaned_data, evaluation notebooks, and vector stores.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This is the local ancestor of the publication repository.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Environment failure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Early app traceback: ModuleNotFoundError for llama_index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Treat dependency setup as part of reproducibility rather than an incidental app problem.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app could not run without the correct conda/Python environment and LlamaIndex packages.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Methods now report Python version, packages, and implementation files.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Corpus cleaning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scripts/clean_regulatory_texts.py and reports/cleaned_data_audit.csv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Create raw-to-cleaned source processing before indexing.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Regulatory text exported from web/PDF-like sources contained markup and boilerplate.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final corpus is indexed from cleaned text, with source links and checksums supplied for reproducibility.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Article-aware indexing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src/article_chunking.py and reports/article_chunk_audit.json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Use one article per chunk when possible, with document and article metadata.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Regulatory questions usually map to articles, not arbitrary token windows.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final index contains 382 detected articles and 481 chunks.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Hybrid retrieval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src/retrieval.py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Combine dense retrieval and BM25, then merge candidates by reciprocal rank fusion.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Exact terms such as RDC 945/2024, DDCM, DEEC, Art. 33, and IN 338 matter in legal/regulatory text.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Dense and keyword retrieval are both reported and auditable.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Reranking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src/retrieval.py and src/config.py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Retrieve more candidates and rerank down to the final answer context.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Early retrieval could find broadly related but not exact passages.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final answer context uses top reranked passages rather than only raw vector similarity.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English questions over Portuguese sources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src/model_loader.py and evaluation/compare_rewrite_runs.py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Add conservative Portuguese retrieval anchors while preserving regulatory terms.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English completeness was weak in the first held-out evaluation.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Bilingual access is supported, but language-specific metrics are reported separately.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Answer rules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src/prompts.py and evaluation/answer_quality.py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Require article citations and refusal when retrieved evidence is insufficient.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Correct source retrieval did not guarantee complete or safe answers.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Citation correctness, completeness, and refusal correctness became primary endpoints.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AI-judge evaluation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evaluation/publication_eval.py and Supplementary Methods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Use an automated judge because two independent experts were not available.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project was performed by one researcher.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claim is limited to technical evaluation; AI judging is not presented as expert validation.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Stress testing after high internal scores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prospective-test output files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Run an AI-authored prospective stress test after internal metrics became high.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Perfect-looking internal scores could reflect saturation, targeted repairs, or same-model-family judging.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stress test exposed refusal weakness and changed the project interpretation.</w:t>
            </w:r>
          </w:p>
        </w:tc>
      </w:tr>
      <w:tr>
        <w:trPr>
          <w:cantSplit/>
        </w:trPr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Refusal calibration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refusal-development files and refusal-focused AI-authored test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Repair refusal on separate development data, then test a new refusal-focused set.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The first prospective test showed that nearby related text could trigger unsupported answers.</w:t>
            </w:r>
          </w:p>
        </w:tc>
        <w:tc>
          <w:tcPr>
            <w:tcW w:type="dxa" w:w="2765"/>
          </w:tcPr>
          <w:p>
            <w:r>
              <w:rPr>
                <w:rFonts w:ascii="Arial" w:hAnsi="Arial"/>
                <w:b w:val="0"/>
                <w:sz w:val="17"/>
              </w:rPr>
              <w:t>Refusal correctness improved, but answerable-control completeness showed a trade-off.</w:t>
            </w:r>
          </w:p>
        </w:tc>
      </w:tr>
    </w:tbl>
    <w:p/>
    <w:p>
      <w:pPr>
        <w:pStyle w:val="Heading2"/>
      </w:pPr>
      <w:r>
        <w:t>Supplementary Table S6. Investigation of saturated internal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  <w:gridCol w:w="3456"/>
      </w:tblGrid>
      <w:tr>
        <w:trPr>
          <w:cantSplit/>
          <w:tblHeader w:val="true"/>
        </w:trPr>
        <w:tc>
          <w:tcPr>
            <w:tcW w:type="dxa" w:w="3456"/>
          </w:tcPr>
          <w:p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/>
                <w:sz w:val="17"/>
              </w:rPr>
              <w:t>Why it was suspicious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/>
                <w:sz w:val="17"/>
              </w:rPr>
              <w:t>Investigation performed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/>
                <w:sz w:val="17"/>
              </w:rPr>
              <w:t>Interpretation for reliability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Internal refusal correctness reached 1.000 on curated unanswerable rows.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rows were part of a benchmark built during the project and evaluated after targeted repair.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A separate AI-authored prospective stress test was run once after the pipeline was frozen.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perfect internal value was not treated as proof of general refusal reliability.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Several post-repair means approached 1.000.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repair sets were not paired repeats of the same baseline set and were created after error review.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Figure 3A labels these as development-stage results, not statistical before-after proof.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values document that specific failure modes were repaired under controlled conditions.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Prospective answerable rows still showed faithfulness of 1.000.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Faithfulness can saturate when answers are short and tightly tied to retrieved articles.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Completeness, citation correctness, source MRR, article Recall@5, and examples were reported beside faithfulness.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Faithfulness alone is insufficient; incomplete answers remain possible even with supported claims.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first prospective stress test had refusal correctness of 0.700.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This contradicted the internal refusal value of 1.000.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Failure review showed answers based on nearby general rules when the exact current or operational fact was absent.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This was the main evidence that internal 1.000 metrics were inflated or at least too narrow.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refusal-focused AI-authored test improved refusal correctness to 0.944.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A high post-calibration score can also be overinterpreted.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Answerable controls were included and their completeness was reported at 0.908.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final claim is bounded: refusal improved, but completeness trade-offs and closed-corpus limits remain.</w:t>
            </w:r>
          </w:p>
        </w:tc>
      </w:tr>
      <w:tr>
        <w:trPr>
          <w:cantSplit/>
        </w:trPr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answer model and judge used the same model family.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Same-model-family grading can overestimate quality.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manuscript reports this as a limitation and provides per-question outputs for audit.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sz w:val="17"/>
              </w:rPr>
              <w:t>The AI judge supports reproducibility, not independent expert validation.</w:t>
            </w:r>
          </w:p>
        </w:tc>
      </w:tr>
    </w:tbl>
    <w:p/>
    <w:sectPr w:rsidR="00FC693F" w:rsidRPr="0006063C" w:rsidSect="00034616">
      <w:pgSz w:w="15840" w:h="12240" w:orient="landscape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