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Tables</w:t>
      </w:r>
    </w:p>
    <w:p>
      <w:r>
        <w:t>Title: Bilingual Retrieval-Augmented Access to ANVISA Regulatory Documents</w:t>
      </w:r>
    </w:p>
    <w:p>
      <w:r>
        <w:t>Prepared: 2026-07-20</w:t>
      </w:r>
    </w:p>
    <w:p>
      <w:pPr>
        <w:pStyle w:val="Heading2"/>
      </w:pPr>
      <w:r>
        <w:t>Supplementary Table S1. Expanded development decision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cantSplit/>
          <w:tblHeader w:val="true"/>
        </w:trPr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Question category or system issue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the system did well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went wrong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was changed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this means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Source cleaning and document identity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project identified the intended regulatory corpus.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Local source files included formatting artifacts and one misleading local file name.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Source text was cleaned and document identity was checked against official regulation names.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RAG needs a stable and auditable corpus before retrieval metrics are interpretable.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Direct article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Retrieved and cited the correct article for compact questions.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Some answers still omitted conditions.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Article-level indexing and completeness prompting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Useful for navigation, but citations must be checked.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questions over Portuguese sources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Improved after Portuguese retrieval anchors.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completeness was initially weak.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Conservative bilingual term anchors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Bilingual search is feasible but needs controlled terminology.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Rule-plus-exception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Often found the right document.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Sometimes gave the exception without the general rule.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Rule-plus-exception failures were tracked separately.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answers must preserve legal structure.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Long-list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Often found the right article.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Omitted one element, condition, or deadline.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Answer-completeness checks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Average metrics can hide operationally important omissions.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False-premise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Could correct the premise and cite evidence.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Automated labels could confuse false premise with refusal.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False-premise questions were kept as a separate category.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These questions should not be merged with ordinary unanswerable questions.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Current or operational facts outside corpus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Refused after calibration.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Earlier system answered from nearby general text.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 stricter refusal rule and separate refusal test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calibration is central for regulatory safety.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AI-authored prospective-test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Confirmed strong answerable-question behavior.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correctness dropped to 0.700.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was repaired using separate development data.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AI-authored prospective testing changed the project story.</w:t>
            </w:r>
          </w:p>
        </w:tc>
      </w:tr>
    </w:tbl>
    <w:p/>
    <w:p>
      <w:pPr>
        <w:pStyle w:val="Heading2"/>
      </w:pPr>
      <w:r>
        <w:t>Supplementary Table S2. Expanded representative answer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  <w:gridCol w:w="3456"/>
      </w:tblGrid>
      <w:tr>
        <w:trPr>
          <w:cantSplit/>
          <w:tblHeader w:val="true"/>
        </w:trPr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Question type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Example question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System behavior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answer, pharmacovigilance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Which minimum information makes a notification valid and reportable?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Retrieved RDC 406/2020, Art. 32 and listed the minimum elements.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source and correct main answer.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false-premise handling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Is a notification valid without patient identification if the suspected medicine is named?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Answered no and cited RDC 406/2020, Art. 32.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Useful because it corrected the premise.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clinical-trial safety answer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Does possible SUSAR reporting allow unblinding all participants?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Answered no; unblinding is limited to the affected participant and cited RDC 945/2024, Art. 67.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and relevant to trial conduct.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refusal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is the current MedDRA version required today?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Refused because the indexed documents mention MedDRA but not the current required version.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Appropriate refusal for current operational information.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refusal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is the current phone number for Anvisa support for the adverse-event notification system?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Refused because the corpus does not contain current support contact information.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Appropriate evidence boundary.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Incomplete answer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information must appear for non-printed instructions for use?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Retrieved RDC 751/2022, Art. 51 but omitted that instructions must remain available while the product is on the market.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article, incomplete answer.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Incomplete answer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Can a foreign-manufactured biological product be registered without registration in the manufacturing country?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Gave the exception but did not clearly state the general rule.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Risk of treating an exception as the whole rule.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False refusal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Under RDC 945/2024, until when must DSURs be sent to Anvisa and what is the annual reference date?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Refused in one English prospective-test row although the corpus contained the answer.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Retrieval or answer threshold failure.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Refusal failure before calibration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is the current electronic form model for notifying SUSARs to Anvisa?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Earlier AI-authored prospective testing sometimes answered with the general electronic-notification requirement.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Related context was mistaken for sufficient evidence.</w:t>
            </w:r>
          </w:p>
        </w:tc>
      </w:tr>
    </w:tbl>
    <w:p/>
    <w:p>
      <w:pPr>
        <w:pStyle w:val="Heading2"/>
      </w:pPr>
      <w:r>
        <w:t>Supplementary Table S3. Evaluation-stage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rPr>
          <w:cantSplit/>
          <w:tblHeader w:val="true"/>
        </w:trPr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Stage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Main finding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Use in interpretation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Initial held-out evaluation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English completeness was the weak point; some answers omitted list items, conditions, or exceptions.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Development diagnosis.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Post-repair internal evaluation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High internal scores showed that the repaired system passed the curated benchmark.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Internal technical check, not independent validation.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AI-authored prospective stress test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Answerable questions were mostly supported, but refusal behavior was weak.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Diagnostic prospective evidence that changed the project focus.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Refusal-focused AI-authored test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Refusal improved after separate calibration, with no over-refusal on answerable controls.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Focused AI-authored check of refusal calibration.</w:t>
            </w:r>
          </w:p>
        </w:tc>
      </w:tr>
    </w:tbl>
    <w:p/>
    <w:p>
      <w:pPr>
        <w:pStyle w:val="Heading2"/>
      </w:pPr>
      <w:r>
        <w:t>Supplementary Table S4. Main-table disposition after revision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rPr>
          <w:cantSplit/>
          <w:tblHeader w:val="true"/>
        </w:trPr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Original table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Revision decision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1. Regulatory domains represented in the corpus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Replaced with a shorter corpus-and-use-case table.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Reduces page splitting and overlaps less with Figure 2.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2. Question categories and corrective actions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Condensed in the main text and expanded as Supplementary Table S1.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Full version was too dense for the main manuscript.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3. Representative examples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Condensed in the main text and expanded as Supplementary Table S2.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Keeps the story visible while moving audit-level detail to the supplement.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4. Summary of evaluation stages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Removed from the main text and moved to Supplementary Table S3.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Redundant with Figure 3A and Figure 3B.</w:t>
            </w:r>
          </w:p>
        </w:tc>
      </w:tr>
    </w:tbl>
    <w:p/>
    <w:p>
      <w:pPr>
        <w:pStyle w:val="Heading2"/>
      </w:pPr>
      <w:r>
        <w:t>Supplementary Table S5. Decision trace from course notebooks to final ANVISA 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cantSplit/>
          <w:tblHeader w:val="true"/>
        </w:trPr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Stage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Local evidence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Main decision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Reason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Effect on final system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1: local LLM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file and repository copy notebooks/1_LLM.ipynb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Start from a Python project pattern with environment.yml, .env, src/config.py, src/model_loader.py, src/engine.py, and main.py.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course notebook provided a simple, reproducible local LLM scaffold.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project kept the separated configuration, model-loading, engine, and app structure.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2: chatbot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file and repository copy notebooks/2_chatbot.ipynb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Add a chat interface and system prompt rather than a one-shot completion loop.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target use case was question answering by regulatory users.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app kept an interactive Streamlit question-answer interface, although the final evaluation used scripted runs.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3: generic RAG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file and repository copy notebooks/3_rag.ipynb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Replace the demonstration corpus with selected ANVISA text files.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project idea was to adapt the teaching RAG workflow from a generic text example to regulatory documents.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data folder became a closed ANVISA corpus rather than an open web or general-document system.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Borrowed Shenia source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src_RAG_Shenia/engine.py in the recovered project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Test a stronger RAG pattern using semantic splitting, HyDE, reranking, and chat memory.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borrowed source worked in another project and showed useful retrieval options beyond the teacher notebook.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Some ideas were retained conceptually, especially reranking, but HyDE/semantic splitting/chat memory were not the final regulatory design.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First ANVISA implementation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Recovered ANVISA RAG project folder and Codex recovered copy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Build an ANVISA Streamlit app with LlamaIndex, local embeddings, Gemini, and indexed ANVISA text files.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original DSAI2 project folder was later moved; the recovered project contains the app, ANVISA data, cleaned_data, evaluation notebooks, and vector stores.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This is the local ancestor of the publication repository.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Environment failure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Early app traceback: ModuleNotFoundError for llama_index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Treat dependency setup as part of reproducibility rather than an incidental app problem.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app could not run without the correct conda/Python environment and LlamaIndex packages.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Methods now report Python version, packages, and implementation files.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Corpus cleaning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scripts/clean_regulatory_texts.py and reports/cleaned_data_audit.csv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Create raw-to-cleaned source processing before indexing.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text exported from web/PDF-like sources contained markup and boilerplate.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corpus is indexed from cleaned text, with source links and checksums supplied for reproducibility.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Article-aware indexing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src/article_chunking.py and reports/article_chunk_audit.json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Use one article per chunk when possible, with document and article metadata.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questions usually map to articles, not arbitrary token windows.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index contains 382 detected articles and 481 chunks.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Hybrid retrieval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src/retrieval.py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Combine dense retrieval and BM25, then merge candidates by reciprocal rank fusion.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Exact terms such as RDC 945/2024, DDCM, DEEC, Art. 33, and IN 338 matter in legal/regulatory text.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Dense and keyword retrieval are both reported and auditable.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Reranking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src/retrieval.py and src/config.py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Retrieve more candidates and rerank down to the final answer context.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Early retrieval could find broadly related but not exact passages.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answer context uses top reranked passages rather than only raw vector similarity.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questions over Portuguese sources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src/model_loader.py and evaluation/compare_rewrite_runs.py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Add conservative Portuguese retrieval anchors while preserving regulatory terms.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completeness was weak in the first held-out evaluation.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Bilingual access is supported, but language-specific metrics are reported separately.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Answer rules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src/prompts.py and evaluation/answer_quality.py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Require article citations and refusal when retrieved evidence is insufficient.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Correct source retrieval did not guarantee complete or safe answers.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Citation correctness, completeness, and refusal correctness became primary endpoints.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AI-judge evaluation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evaluation/publication_eval.py and Supplementary Methods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Use an automated judge because two independent experts were not available.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project was performed by one researcher.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claim is limited to technical evaluation; AI judging is not presented as expert validation.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Stress testing after high internal scores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prospective-test output files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Run an AI-authored prospective stress test after internal metrics became high.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Perfect-looking internal scores could reflect saturation, targeted repairs, or same-model-family judging.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stress test exposed refusal weakness and changed the project interpretation.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calibration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refusal-development files and refusal-focused AI-authored test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Repair refusal on separate development data, then test a new refusal-focused set.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first prospective test showed that nearby related text could trigger unsupported answers.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correctness improved, but answerable-control completeness showed a trade-off.</w:t>
            </w:r>
          </w:p>
        </w:tc>
      </w:tr>
    </w:tbl>
    <w:p/>
    <w:p>
      <w:pPr>
        <w:pStyle w:val="Heading2"/>
      </w:pPr>
      <w:r>
        <w:t>Supplementary Table S6. Investigation of saturated internal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  <w:gridCol w:w="3456"/>
      </w:tblGrid>
      <w:tr>
        <w:trPr>
          <w:cantSplit/>
          <w:tblHeader w:val="true"/>
        </w:trPr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Why it was suspicious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Investigation performed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Interpretation for reliability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Internal refusal correctness reached 1.000 on curated unanswerable rows.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rows were part of a benchmark built during the project and evaluated after targeted repair.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 separate AI-authored prospective stress test was run once after the pipeline was frozen.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perfect internal value was not treated as proof of general refusal reliability.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Several post-repair means approached 1.000.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repair sets were not paired repeats of the same baseline set and were created after error review.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Figure 3A labels these as development-stage results, not statistical before-after proof.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values document that specific failure modes were repaired under controlled conditions.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Prospective answerable rows still showed faithfulness of 1.000.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Faithfulness can saturate when answers are short and tightly tied to retrieved articles.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Completeness, citation correctness, source MRR, article Recall@5, and examples were reported beside faithfulness.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Faithfulness alone is insufficient; incomplete answers remain possible even with supported claims.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first prospective stress test had refusal correctness of 0.700.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This contradicted the internal refusal value of 1.000.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Failure review showed answers based on nearby general rules when the exact current or operational fact was absent.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This was the main evidence that internal 1.000 metrics were inflated or at least too narrow.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refusal-focused AI-authored test improved refusal correctness to 0.944.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 high post-calibration score can also be overinterpreted.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Answerable controls were included and their completeness was reported at 0.908.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final claim is bounded: refusal improved, but completeness trade-offs and closed-corpus limits remain.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answer model and judge used the same model family.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Same-model-family grading can overestimate quality.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manuscript reports this as a limitation and provides per-question outputs for audit.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AI judge supports reproducibility, not independent expert validation.</w:t>
            </w:r>
          </w:p>
        </w:tc>
      </w:tr>
    </w:tbl>
    <w:p/>
    <w:sectPr w:rsidR="00FC693F" w:rsidRPr="0006063C" w:rsidSect="00034616">
      <w:pgSz w:w="15840" w:h="12240" w:orient="landscape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